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6BB5" w:rsidRDefault="00996BB5">
      <w:pPr>
        <w:pStyle w:val="Title"/>
        <w:jc w:val="center"/>
        <w:rPr>
          <w:rFonts w:ascii="Poppins" w:eastAsia="Poppins" w:hAnsi="Poppins" w:cs="Poppins"/>
        </w:rPr>
      </w:pPr>
    </w:p>
    <w:p w:rsidR="00996BB5" w:rsidRDefault="00BD13D0">
      <w:pPr>
        <w:pStyle w:val="Title"/>
        <w:jc w:val="center"/>
      </w:pPr>
      <w:r>
        <w:rPr>
          <w:rFonts w:ascii="Poppins" w:eastAsia="Poppins" w:hAnsi="Poppins" w:cs="Poppins"/>
        </w:rPr>
        <w:t>Invitation to Tender for Vehicle Rental Services in Sudan</w:t>
      </w:r>
    </w:p>
    <w:p w:rsidR="00996BB5" w:rsidRDefault="00BD13D0">
      <w:pPr>
        <w:pStyle w:val="Heading2"/>
      </w:pPr>
      <w:r>
        <w:rPr>
          <w:rFonts w:ascii="Poppins" w:eastAsia="Poppins" w:hAnsi="Poppins" w:cs="Poppins"/>
        </w:rPr>
        <w:t>Background and purpose</w:t>
      </w:r>
    </w:p>
    <w:p w:rsidR="00996BB5" w:rsidRDefault="00BD13D0">
      <w:r>
        <w:rPr>
          <w:b/>
          <w:bCs/>
        </w:rPr>
        <w:t>International Advisory, Products and Systems Ltd. (i-APS)</w:t>
      </w:r>
      <w:r>
        <w:t xml:space="preserve"> is a woman-owned and managed humanitarian consulting firm that helps organizations measure, adapt, and deliver through a proven, people-first approach. We combine global expertise with local presence to transform organizations and communities into partners for change.</w:t>
      </w:r>
    </w:p>
    <w:p w:rsidR="00996BB5" w:rsidRDefault="00BD13D0">
      <w:proofErr w:type="gramStart"/>
      <w:r>
        <w:t>i-APS</w:t>
      </w:r>
      <w:proofErr w:type="gramEnd"/>
      <w:r>
        <w:t xml:space="preserve"> is certified as an 8(a) and EDWOSB. </w:t>
      </w:r>
      <w:proofErr w:type="gramStart"/>
      <w:r>
        <w:t>i-APS</w:t>
      </w:r>
      <w:proofErr w:type="gramEnd"/>
      <w:r>
        <w:t xml:space="preserve"> Sudan is part of i-APS’ global network of offices, with active registrations in 11 countries. Registered in July 2022, i-APS Sudan employs Sudanese staff with technical expertise in monitoring, evaluation and learning, organizational capacity building, and third-party monitoring across humanitarian sectors.</w:t>
      </w:r>
    </w:p>
    <w:p w:rsidR="00996BB5" w:rsidRDefault="00BD13D0">
      <w:bookmarkStart w:id="0" w:name="_heading=h.kr9b2h2i8ngp" w:colFirst="0" w:colLast="0"/>
      <w:bookmarkEnd w:id="0"/>
      <w:r>
        <w:t>Our work in Sudan focuses on accurate and useful data that helps humanitarian organizations learn, adapt, and deliver services that respond to local needs and priorities.</w:t>
      </w:r>
    </w:p>
    <w:p w:rsidR="00996BB5" w:rsidRDefault="00BD13D0">
      <w:r>
        <w:t>Since January 2023, i-APS Sudan has worked with over 100 Sudanese professionals and completed capacity building, training, monitoring, evaluation and learning activities and projects funded by Concern Worldwide, SIDA, WHH, EU, NLRC and ZOA across food and nutrition, peace and security, and capacity building.</w:t>
      </w:r>
    </w:p>
    <w:p w:rsidR="00996BB5" w:rsidRDefault="00BD13D0">
      <w:r>
        <w:t xml:space="preserve">International Advisory, Products and Systems Ltd. (i-APS) conducts </w:t>
      </w:r>
      <w:proofErr w:type="spellStart"/>
      <w:r>
        <w:t>programme</w:t>
      </w:r>
      <w:proofErr w:type="spellEnd"/>
      <w:r>
        <w:t xml:space="preserve">, assessment, monitoring, </w:t>
      </w:r>
      <w:proofErr w:type="gramStart"/>
      <w:r>
        <w:t>research</w:t>
      </w:r>
      <w:proofErr w:type="gramEnd"/>
      <w:r>
        <w:t xml:space="preserve"> and field-support activities in Sudan. These activities require dependable passenger transport within state capitals, from state capitals to localities and field locations.</w:t>
      </w:r>
    </w:p>
    <w:p w:rsidR="00996BB5" w:rsidRDefault="00BD13D0" w:rsidP="004C3616">
      <w:proofErr w:type="gramStart"/>
      <w:r>
        <w:rPr>
          <w:rFonts w:ascii="Poppins" w:eastAsia="Poppins" w:hAnsi="Poppins" w:cs="Poppins"/>
          <w:b/>
          <w:bCs/>
          <w:color w:val="000000"/>
        </w:rPr>
        <w:t>i-APS</w:t>
      </w:r>
      <w:proofErr w:type="gramEnd"/>
      <w:r>
        <w:rPr>
          <w:rFonts w:ascii="Poppins" w:eastAsia="Poppins" w:hAnsi="Poppins" w:cs="Poppins"/>
          <w:b/>
          <w:bCs/>
          <w:color w:val="000000"/>
        </w:rPr>
        <w:t xml:space="preserve"> intends to enter into a 12-month framework agreement with one qualified vehicle rental supplier. The signed agreement will set a maximum total value (financial ceiling). </w:t>
      </w:r>
    </w:p>
    <w:p w:rsidR="00996BB5" w:rsidRDefault="00BD13D0">
      <w:pPr>
        <w:pStyle w:val="Heading2"/>
        <w:pageBreakBefore/>
      </w:pPr>
      <w:r>
        <w:rPr>
          <w:rFonts w:ascii="Poppins" w:eastAsia="Poppins" w:hAnsi="Poppins" w:cs="Poppins"/>
        </w:rPr>
        <w:t>Objectives</w:t>
      </w:r>
    </w:p>
    <w:p w:rsidR="00996BB5" w:rsidRDefault="00BD13D0">
      <w:pPr>
        <w:numPr>
          <w:ilvl w:val="0"/>
          <w:numId w:val="1"/>
        </w:numPr>
        <w:pBdr>
          <w:top w:val="nil"/>
          <w:left w:val="nil"/>
          <w:bottom w:val="nil"/>
          <w:right w:val="nil"/>
          <w:between w:val="nil"/>
        </w:pBdr>
        <w:spacing w:after="0"/>
      </w:pPr>
      <w:r>
        <w:t>Establish safe, roadworthy and properly insured vehicle capacity across the covered states.</w:t>
      </w:r>
    </w:p>
    <w:p w:rsidR="00996BB5" w:rsidRDefault="00BD13D0">
      <w:pPr>
        <w:numPr>
          <w:ilvl w:val="0"/>
          <w:numId w:val="1"/>
        </w:numPr>
        <w:pBdr>
          <w:top w:val="nil"/>
          <w:left w:val="nil"/>
          <w:bottom w:val="nil"/>
          <w:right w:val="nil"/>
          <w:between w:val="nil"/>
        </w:pBdr>
        <w:spacing w:after="0"/>
      </w:pPr>
      <w:r>
        <w:t>Obtain transparent and comparable rates for routine city and field movements in the covered states.</w:t>
      </w:r>
    </w:p>
    <w:p w:rsidR="00996BB5" w:rsidRDefault="00BD13D0">
      <w:pPr>
        <w:numPr>
          <w:ilvl w:val="0"/>
          <w:numId w:val="1"/>
        </w:numPr>
        <w:pBdr>
          <w:top w:val="nil"/>
          <w:left w:val="nil"/>
          <w:bottom w:val="nil"/>
          <w:right w:val="nil"/>
          <w:between w:val="nil"/>
        </w:pBdr>
        <w:spacing w:after="0"/>
      </w:pPr>
      <w:r>
        <w:t>Create a controlled call-off process through written Purchase Orders under the selected supplier’s framework agreement.</w:t>
      </w:r>
    </w:p>
    <w:p w:rsidR="00996BB5" w:rsidRDefault="00BD13D0">
      <w:pPr>
        <w:numPr>
          <w:ilvl w:val="0"/>
          <w:numId w:val="1"/>
        </w:numPr>
        <w:pBdr>
          <w:top w:val="nil"/>
          <w:left w:val="nil"/>
          <w:bottom w:val="nil"/>
          <w:right w:val="nil"/>
          <w:between w:val="nil"/>
        </w:pBdr>
        <w:spacing w:after="0"/>
      </w:pPr>
      <w:r>
        <w:t>Reduce operational delays while preventing verbal deployment, retrospective contracting and unsupported payment claims.</w:t>
      </w:r>
    </w:p>
    <w:p w:rsidR="00996BB5" w:rsidRDefault="00BD13D0">
      <w:pPr>
        <w:numPr>
          <w:ilvl w:val="0"/>
          <w:numId w:val="1"/>
        </w:numPr>
        <w:pBdr>
          <w:top w:val="nil"/>
          <w:left w:val="nil"/>
          <w:bottom w:val="nil"/>
          <w:right w:val="nil"/>
          <w:between w:val="nil"/>
        </w:pBdr>
        <w:spacing w:after="50"/>
      </w:pPr>
      <w:r>
        <w:t>Ensure that drivers and suppliers comply with i-APS safety, safeguarding, ethical and reporting requirements.</w:t>
      </w:r>
    </w:p>
    <w:p w:rsidR="00996BB5" w:rsidRDefault="00BD13D0">
      <w:proofErr w:type="gramStart"/>
      <w:r>
        <w:t>i-APS</w:t>
      </w:r>
      <w:proofErr w:type="gramEnd"/>
      <w:r>
        <w:t xml:space="preserve"> Sudan invites registered companies to offer passenger vehicle rental services in the states listed below. This document contains the tender rules and technical requirements. Enter all prices in the separate RFQ in Excel or PDF format, or both; do not place prices in the technical response.</w:t>
      </w:r>
    </w:p>
    <w:tbl>
      <w:tblPr>
        <w:tblStyle w:val="a"/>
        <w:tblW w:w="10065" w:type="dxa"/>
        <w:jc w:val="center"/>
        <w:tblLayout w:type="fixed"/>
        <w:tblLook w:val="0400" w:firstRow="0" w:lastRow="0" w:firstColumn="0" w:lastColumn="0" w:noHBand="0" w:noVBand="1"/>
      </w:tblPr>
      <w:tblGrid>
        <w:gridCol w:w="4205"/>
        <w:gridCol w:w="5860"/>
      </w:tblGrid>
      <w:tr w:rsidR="00996BB5">
        <w:trPr>
          <w:cantSplit/>
          <w:tblHeader/>
          <w:jc w:val="center"/>
        </w:trPr>
        <w:tc>
          <w:tcPr>
            <w:tcW w:w="4205" w:type="dxa"/>
            <w:tcBorders>
              <w:top w:val="single" w:sz="4" w:space="0" w:color="D9D9D9"/>
              <w:left w:val="single" w:sz="4" w:space="0" w:color="D9D9D9"/>
              <w:bottom w:val="single" w:sz="4" w:space="0" w:color="D9D9D9"/>
              <w:right w:val="single" w:sz="4" w:space="0" w:color="D9D9D9"/>
            </w:tcBorders>
            <w:shd w:val="clear" w:color="auto" w:fill="AA1A5F"/>
            <w:tcMar>
              <w:top w:w="100" w:type="dxa"/>
              <w:left w:w="115" w:type="dxa"/>
              <w:bottom w:w="100" w:type="dxa"/>
              <w:right w:w="115" w:type="dxa"/>
            </w:tcMar>
            <w:vAlign w:val="center"/>
          </w:tcPr>
          <w:p w:rsidR="00996BB5" w:rsidRDefault="00BD13D0">
            <w:pPr>
              <w:pBdr>
                <w:top w:val="nil"/>
                <w:left w:val="nil"/>
                <w:bottom w:val="nil"/>
                <w:right w:val="nil"/>
                <w:between w:val="nil"/>
              </w:pBdr>
              <w:spacing w:after="0" w:line="245" w:lineRule="auto"/>
              <w:jc w:val="center"/>
              <w:rPr>
                <w:color w:val="FFFFFF"/>
                <w:sz w:val="21"/>
                <w:szCs w:val="21"/>
              </w:rPr>
            </w:pPr>
            <w:r>
              <w:rPr>
                <w:rFonts w:ascii="Poppins" w:eastAsia="Poppins" w:hAnsi="Poppins" w:cs="Poppins"/>
                <w:b/>
                <w:bCs/>
                <w:color w:val="FFFFFF"/>
                <w:sz w:val="21"/>
                <w:szCs w:val="21"/>
              </w:rPr>
              <w:t>Tender information</w:t>
            </w:r>
          </w:p>
        </w:tc>
        <w:tc>
          <w:tcPr>
            <w:tcW w:w="5860" w:type="dxa"/>
            <w:tcBorders>
              <w:top w:val="single" w:sz="4" w:space="0" w:color="D9D9D9"/>
              <w:left w:val="single" w:sz="4" w:space="0" w:color="D9D9D9"/>
              <w:bottom w:val="single" w:sz="4" w:space="0" w:color="D9D9D9"/>
              <w:right w:val="single" w:sz="4" w:space="0" w:color="D9D9D9"/>
            </w:tcBorders>
            <w:shd w:val="clear" w:color="auto" w:fill="AA1A5F"/>
            <w:tcMar>
              <w:top w:w="100" w:type="dxa"/>
              <w:left w:w="115" w:type="dxa"/>
              <w:bottom w:w="100" w:type="dxa"/>
              <w:right w:w="115" w:type="dxa"/>
            </w:tcMar>
            <w:vAlign w:val="center"/>
          </w:tcPr>
          <w:p w:rsidR="00996BB5" w:rsidRDefault="00BD13D0">
            <w:pPr>
              <w:pBdr>
                <w:top w:val="nil"/>
                <w:left w:val="nil"/>
                <w:bottom w:val="nil"/>
                <w:right w:val="nil"/>
                <w:between w:val="nil"/>
              </w:pBdr>
              <w:spacing w:after="0" w:line="245" w:lineRule="auto"/>
              <w:jc w:val="center"/>
              <w:rPr>
                <w:color w:val="FFFFFF"/>
                <w:sz w:val="21"/>
                <w:szCs w:val="21"/>
              </w:rPr>
            </w:pPr>
            <w:r>
              <w:rPr>
                <w:rFonts w:ascii="Poppins" w:eastAsia="Poppins" w:hAnsi="Poppins" w:cs="Poppins"/>
                <w:b/>
                <w:bCs/>
                <w:color w:val="FFFFFF"/>
                <w:sz w:val="21"/>
                <w:szCs w:val="21"/>
              </w:rPr>
              <w:t>Details</w:t>
            </w:r>
          </w:p>
        </w:tc>
      </w:tr>
      <w:tr w:rsidR="00996BB5">
        <w:trPr>
          <w:cantSplit/>
          <w:jc w:val="center"/>
        </w:trPr>
        <w:tc>
          <w:tcPr>
            <w:tcW w:w="4205"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Tender reference</w:t>
            </w:r>
          </w:p>
        </w:tc>
        <w:tc>
          <w:tcPr>
            <w:tcW w:w="5860"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APS-ITT-OMD-001</w:t>
            </w:r>
          </w:p>
        </w:tc>
      </w:tr>
      <w:tr w:rsidR="00996BB5">
        <w:trPr>
          <w:cantSplit/>
          <w:jc w:val="center"/>
        </w:trPr>
        <w:tc>
          <w:tcPr>
            <w:tcW w:w="4205"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Issue date</w:t>
            </w:r>
          </w:p>
        </w:tc>
        <w:tc>
          <w:tcPr>
            <w:tcW w:w="5860"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4C3616">
            <w:pPr>
              <w:pBdr>
                <w:top w:val="nil"/>
                <w:left w:val="nil"/>
                <w:bottom w:val="nil"/>
                <w:right w:val="nil"/>
                <w:between w:val="nil"/>
              </w:pBdr>
              <w:spacing w:after="0" w:line="245" w:lineRule="auto"/>
              <w:rPr>
                <w:sz w:val="21"/>
                <w:szCs w:val="21"/>
              </w:rPr>
            </w:pPr>
            <w:r>
              <w:rPr>
                <w:sz w:val="21"/>
                <w:szCs w:val="21"/>
              </w:rPr>
              <w:t>7</w:t>
            </w:r>
            <w:r w:rsidR="00BD13D0">
              <w:rPr>
                <w:sz w:val="21"/>
                <w:szCs w:val="21"/>
              </w:rPr>
              <w:t>-10-2026</w:t>
            </w:r>
          </w:p>
        </w:tc>
      </w:tr>
      <w:tr w:rsidR="00996BB5">
        <w:trPr>
          <w:cantSplit/>
          <w:jc w:val="center"/>
        </w:trPr>
        <w:tc>
          <w:tcPr>
            <w:tcW w:w="4205"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Clarification deadline</w:t>
            </w:r>
          </w:p>
        </w:tc>
        <w:tc>
          <w:tcPr>
            <w:tcW w:w="5860"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4C3616">
            <w:pPr>
              <w:pBdr>
                <w:top w:val="nil"/>
                <w:left w:val="nil"/>
                <w:bottom w:val="nil"/>
                <w:right w:val="nil"/>
                <w:between w:val="nil"/>
              </w:pBdr>
              <w:spacing w:after="0" w:line="245" w:lineRule="auto"/>
              <w:rPr>
                <w:sz w:val="21"/>
                <w:szCs w:val="21"/>
              </w:rPr>
            </w:pPr>
            <w:r>
              <w:rPr>
                <w:sz w:val="21"/>
                <w:szCs w:val="21"/>
              </w:rPr>
              <w:t>19</w:t>
            </w:r>
            <w:r w:rsidR="00BD13D0">
              <w:rPr>
                <w:sz w:val="21"/>
                <w:szCs w:val="21"/>
              </w:rPr>
              <w:t>-10-2026</w:t>
            </w:r>
          </w:p>
        </w:tc>
      </w:tr>
      <w:tr w:rsidR="00996BB5">
        <w:trPr>
          <w:cantSplit/>
          <w:jc w:val="center"/>
        </w:trPr>
        <w:tc>
          <w:tcPr>
            <w:tcW w:w="4205"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Submission deadline</w:t>
            </w:r>
          </w:p>
        </w:tc>
        <w:tc>
          <w:tcPr>
            <w:tcW w:w="5860"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4C3616">
            <w:pPr>
              <w:pBdr>
                <w:top w:val="nil"/>
                <w:left w:val="nil"/>
                <w:bottom w:val="nil"/>
                <w:right w:val="nil"/>
                <w:between w:val="nil"/>
              </w:pBdr>
              <w:spacing w:after="0" w:line="245" w:lineRule="auto"/>
              <w:rPr>
                <w:sz w:val="21"/>
                <w:szCs w:val="21"/>
              </w:rPr>
            </w:pPr>
            <w:r>
              <w:rPr>
                <w:sz w:val="21"/>
                <w:szCs w:val="21"/>
              </w:rPr>
              <w:t>21</w:t>
            </w:r>
            <w:r w:rsidR="00BD13D0">
              <w:rPr>
                <w:sz w:val="21"/>
                <w:szCs w:val="21"/>
              </w:rPr>
              <w:t>-10-2026, 23:59 (GMT+2)</w:t>
            </w:r>
          </w:p>
        </w:tc>
      </w:tr>
      <w:tr w:rsidR="00996BB5">
        <w:trPr>
          <w:cantSplit/>
          <w:jc w:val="center"/>
        </w:trPr>
        <w:tc>
          <w:tcPr>
            <w:tcW w:w="4205"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Submission address</w:t>
            </w:r>
          </w:p>
        </w:tc>
        <w:tc>
          <w:tcPr>
            <w:tcW w:w="5860"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spacing w:after="0" w:line="245" w:lineRule="auto"/>
            </w:pPr>
            <w:r>
              <w:rPr>
                <w:sz w:val="21"/>
                <w:szCs w:val="21"/>
              </w:rPr>
              <w:t>ayounis@i-aps.com</w:t>
            </w:r>
          </w:p>
        </w:tc>
      </w:tr>
      <w:tr w:rsidR="00996BB5">
        <w:trPr>
          <w:cantSplit/>
          <w:jc w:val="center"/>
        </w:trPr>
        <w:tc>
          <w:tcPr>
            <w:tcW w:w="4205"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Clarification address</w:t>
            </w:r>
          </w:p>
        </w:tc>
        <w:tc>
          <w:tcPr>
            <w:tcW w:w="5860"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ayounis@i-aps.com</w:t>
            </w:r>
          </w:p>
        </w:tc>
      </w:tr>
      <w:tr w:rsidR="00996BB5">
        <w:trPr>
          <w:cantSplit/>
          <w:jc w:val="center"/>
        </w:trPr>
        <w:tc>
          <w:tcPr>
            <w:tcW w:w="4205"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Agreement period</w:t>
            </w:r>
          </w:p>
        </w:tc>
        <w:tc>
          <w:tcPr>
            <w:tcW w:w="5860"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12 months from signature</w:t>
            </w:r>
          </w:p>
        </w:tc>
      </w:tr>
      <w:tr w:rsidR="00996BB5">
        <w:trPr>
          <w:cantSplit/>
          <w:jc w:val="center"/>
        </w:trPr>
        <w:tc>
          <w:tcPr>
            <w:tcW w:w="4205"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Currency and offer validity</w:t>
            </w:r>
          </w:p>
        </w:tc>
        <w:tc>
          <w:tcPr>
            <w:tcW w:w="5860"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USD; 45 calendar days after submission deadline</w:t>
            </w:r>
          </w:p>
        </w:tc>
      </w:tr>
    </w:tbl>
    <w:p w:rsidR="00996BB5" w:rsidRDefault="00996BB5">
      <w:pPr>
        <w:spacing w:after="0"/>
      </w:pPr>
    </w:p>
    <w:p w:rsidR="00996BB5" w:rsidRDefault="00BD13D0">
      <w:pPr>
        <w:pStyle w:val="Heading2"/>
      </w:pPr>
      <w:r>
        <w:rPr>
          <w:rFonts w:ascii="Poppins" w:eastAsia="Poppins" w:hAnsi="Poppins" w:cs="Poppins"/>
        </w:rPr>
        <w:t>Submission package</w:t>
      </w:r>
    </w:p>
    <w:p w:rsidR="00996BB5" w:rsidRDefault="00BD13D0">
      <w:pPr>
        <w:numPr>
          <w:ilvl w:val="0"/>
          <w:numId w:val="1"/>
        </w:numPr>
        <w:pBdr>
          <w:top w:val="nil"/>
          <w:left w:val="nil"/>
          <w:bottom w:val="nil"/>
          <w:right w:val="nil"/>
          <w:between w:val="nil"/>
        </w:pBdr>
        <w:spacing w:after="0"/>
      </w:pPr>
      <w:r>
        <w:rPr>
          <w:b/>
          <w:bCs/>
        </w:rPr>
        <w:t>Technical offer</w:t>
      </w:r>
      <w:r>
        <w:t>: this signed Word document, company information, vehicle and driver records, two client references, the signed acknowledgement page of t</w:t>
      </w:r>
      <w:bookmarkStart w:id="1" w:name="_GoBack"/>
      <w:bookmarkEnd w:id="1"/>
      <w:r>
        <w:t>he attached i-APS Code of Conduct, and requested supporting evidence.</w:t>
      </w:r>
    </w:p>
    <w:p w:rsidR="00996BB5" w:rsidRDefault="00BD13D0">
      <w:pPr>
        <w:numPr>
          <w:ilvl w:val="0"/>
          <w:numId w:val="1"/>
        </w:numPr>
        <w:pBdr>
          <w:top w:val="nil"/>
          <w:left w:val="nil"/>
          <w:bottom w:val="nil"/>
          <w:right w:val="nil"/>
          <w:between w:val="nil"/>
        </w:pBdr>
        <w:spacing w:after="0"/>
      </w:pPr>
      <w:r>
        <w:t>Financial offer: complete and submit the separate RFQ in Excel, PDF, or both. These are equivalent versions of the same form; if both are submitted, the information and prices must match. Quote at least one suitable vehicle category for every listed state and movement line, and all additional categories the company can supply.</w:t>
      </w:r>
      <w:r/>
    </w:p>
    <w:p w:rsidR="00996BB5" w:rsidRDefault="00BD13D0">
      <w:pPr>
        <w:numPr>
          <w:ilvl w:val="0"/>
          <w:numId w:val="1"/>
        </w:numPr>
        <w:pBdr>
          <w:top w:val="nil"/>
          <w:left w:val="nil"/>
          <w:bottom w:val="nil"/>
          <w:right w:val="nil"/>
          <w:between w:val="nil"/>
        </w:pBdr>
        <w:spacing w:after="50"/>
      </w:pPr>
      <w:r>
        <w:t>Send the technical and financial offers before the deadline. Use the tender reference in the email subject line. Only written clarifications issued by i-APS change these requirements.</w:t>
      </w:r>
    </w:p>
    <w:p w:rsidR="00996BB5" w:rsidRDefault="00BD13D0">
      <w:r>
        <w:t xml:space="preserve">The annexes below form one editable tender document: </w:t>
      </w:r>
      <w:r>
        <w:rPr>
          <w:b/>
          <w:bCs/>
        </w:rPr>
        <w:t>Annex A</w:t>
      </w:r>
      <w:r>
        <w:t xml:space="preserve"> sets the service requirements; </w:t>
      </w:r>
      <w:r>
        <w:rPr>
          <w:b/>
          <w:bCs/>
        </w:rPr>
        <w:t>Annex B</w:t>
      </w:r>
      <w:r>
        <w:t xml:space="preserve"> explains the separate RFQ; </w:t>
      </w:r>
      <w:r>
        <w:rPr>
          <w:b/>
          <w:bCs/>
        </w:rPr>
        <w:t>Annex C</w:t>
      </w:r>
      <w:r>
        <w:t xml:space="preserve"> is the four-section bidder questionnaire; </w:t>
      </w:r>
      <w:r>
        <w:rPr>
          <w:b/>
          <w:bCs/>
        </w:rPr>
        <w:t>Annex D</w:t>
      </w:r>
      <w:r>
        <w:t xml:space="preserve"> states tender rules; </w:t>
      </w:r>
      <w:r>
        <w:rPr>
          <w:b/>
          <w:bCs/>
        </w:rPr>
        <w:t>Annex E</w:t>
      </w:r>
      <w:r>
        <w:t xml:space="preserve"> contains general contract conditions.</w:t>
      </w:r>
    </w:p>
    <w:p w:rsidR="00996BB5" w:rsidRDefault="00BD13D0">
      <w:pPr>
        <w:pStyle w:val="Heading1"/>
        <w:pageBreakBefore/>
      </w:pPr>
      <w:r>
        <w:rPr>
          <w:rFonts w:ascii="Poppins" w:eastAsia="Poppins" w:hAnsi="Poppins" w:cs="Poppins"/>
        </w:rPr>
        <w:t xml:space="preserve">Annex </w:t>
      </w:r>
      <w:proofErr w:type="gramStart"/>
      <w:r>
        <w:rPr>
          <w:rFonts w:ascii="Poppins" w:eastAsia="Poppins" w:hAnsi="Poppins" w:cs="Poppins"/>
        </w:rPr>
        <w:t>A  Terms</w:t>
      </w:r>
      <w:proofErr w:type="gramEnd"/>
      <w:r>
        <w:rPr>
          <w:rFonts w:ascii="Poppins" w:eastAsia="Poppins" w:hAnsi="Poppins" w:cs="Poppins"/>
        </w:rPr>
        <w:t xml:space="preserve"> of Reference</w:t>
      </w:r>
    </w:p>
    <w:p w:rsidR="00996BB5" w:rsidRDefault="00BD13D0">
      <w:pPr>
        <w:pStyle w:val="Heading2"/>
      </w:pPr>
      <w:proofErr w:type="gramStart"/>
      <w:r>
        <w:rPr>
          <w:rFonts w:ascii="Poppins" w:eastAsia="Poppins" w:hAnsi="Poppins" w:cs="Poppins"/>
        </w:rPr>
        <w:t>A1  Coverage</w:t>
      </w:r>
      <w:proofErr w:type="gramEnd"/>
    </w:p>
    <w:p w:rsidR="00996BB5" w:rsidRDefault="00BD13D0">
      <w:r>
        <w:t>The company shall supply roadworthy passenger vehicles with licensed drivers for authorized i-APS movements. The expected services are daily internal movements within the named state city and external movements from that city to localities or field sites in the same state. Any inter-state movement requires a separate written quotation accepted by i-APS and a Purchase Order within the framework ceiling before deployment.</w:t>
      </w:r>
    </w:p>
    <w:tbl>
      <w:tblPr>
        <w:tblStyle w:val="a0"/>
        <w:tblW w:w="9886" w:type="dxa"/>
        <w:jc w:val="center"/>
        <w:tblLayout w:type="fixed"/>
        <w:tblLook w:val="0400" w:firstRow="0" w:lastRow="0" w:firstColumn="0" w:lastColumn="0" w:noHBand="0" w:noVBand="1"/>
      </w:tblPr>
      <w:tblGrid>
        <w:gridCol w:w="2459"/>
        <w:gridCol w:w="2491"/>
        <w:gridCol w:w="2459"/>
        <w:gridCol w:w="2477"/>
      </w:tblGrid>
      <w:tr w:rsidR="00996BB5">
        <w:trPr>
          <w:cantSplit/>
          <w:tblHeader/>
          <w:jc w:val="center"/>
        </w:trPr>
        <w:tc>
          <w:tcPr>
            <w:tcW w:w="2459" w:type="dxa"/>
            <w:tcBorders>
              <w:top w:val="single" w:sz="4" w:space="0" w:color="D9D9D9"/>
              <w:left w:val="single" w:sz="4" w:space="0" w:color="D9D9D9"/>
              <w:bottom w:val="single" w:sz="4" w:space="0" w:color="D9D9D9"/>
              <w:right w:val="single" w:sz="4" w:space="0" w:color="D9D9D9"/>
            </w:tcBorders>
            <w:shd w:val="clear" w:color="auto" w:fill="AA1A5F"/>
            <w:tcMar>
              <w:top w:w="100" w:type="dxa"/>
              <w:left w:w="115" w:type="dxa"/>
              <w:bottom w:w="100" w:type="dxa"/>
              <w:right w:w="115" w:type="dxa"/>
            </w:tcMar>
            <w:vAlign w:val="center"/>
          </w:tcPr>
          <w:p w:rsidR="00996BB5" w:rsidRDefault="00BD13D0">
            <w:pPr>
              <w:pBdr>
                <w:top w:val="nil"/>
                <w:left w:val="nil"/>
                <w:bottom w:val="nil"/>
                <w:right w:val="nil"/>
                <w:between w:val="nil"/>
              </w:pBdr>
              <w:spacing w:after="0" w:line="245" w:lineRule="auto"/>
              <w:jc w:val="center"/>
              <w:rPr>
                <w:color w:val="FFFFFF"/>
                <w:sz w:val="21"/>
                <w:szCs w:val="21"/>
              </w:rPr>
            </w:pPr>
            <w:r>
              <w:rPr>
                <w:rFonts w:ascii="Poppins" w:eastAsia="Poppins" w:hAnsi="Poppins" w:cs="Poppins"/>
                <w:b/>
                <w:bCs/>
                <w:color w:val="FFFFFF"/>
                <w:sz w:val="21"/>
                <w:szCs w:val="21"/>
              </w:rPr>
              <w:t>State</w:t>
            </w:r>
          </w:p>
        </w:tc>
        <w:tc>
          <w:tcPr>
            <w:tcW w:w="2491" w:type="dxa"/>
            <w:tcBorders>
              <w:top w:val="single" w:sz="4" w:space="0" w:color="D9D9D9"/>
              <w:left w:val="single" w:sz="4" w:space="0" w:color="D9D9D9"/>
              <w:bottom w:val="single" w:sz="4" w:space="0" w:color="D9D9D9"/>
              <w:right w:val="single" w:sz="4" w:space="0" w:color="D9D9D9"/>
            </w:tcBorders>
            <w:shd w:val="clear" w:color="auto" w:fill="AA1A5F"/>
            <w:tcMar>
              <w:top w:w="100" w:type="dxa"/>
              <w:left w:w="115" w:type="dxa"/>
              <w:bottom w:w="100" w:type="dxa"/>
              <w:right w:w="115" w:type="dxa"/>
            </w:tcMar>
            <w:vAlign w:val="center"/>
          </w:tcPr>
          <w:p w:rsidR="00996BB5" w:rsidRDefault="00BD13D0">
            <w:pPr>
              <w:pBdr>
                <w:top w:val="nil"/>
                <w:left w:val="nil"/>
                <w:bottom w:val="nil"/>
                <w:right w:val="nil"/>
                <w:between w:val="nil"/>
              </w:pBdr>
              <w:spacing w:after="0" w:line="245" w:lineRule="auto"/>
              <w:jc w:val="center"/>
              <w:rPr>
                <w:color w:val="FFFFFF"/>
                <w:sz w:val="21"/>
                <w:szCs w:val="21"/>
              </w:rPr>
            </w:pPr>
            <w:r>
              <w:rPr>
                <w:rFonts w:ascii="Poppins" w:eastAsia="Poppins" w:hAnsi="Poppins" w:cs="Poppins"/>
                <w:b/>
                <w:bCs/>
                <w:color w:val="FFFFFF"/>
                <w:sz w:val="21"/>
                <w:szCs w:val="21"/>
              </w:rPr>
              <w:t>Internal city</w:t>
            </w:r>
          </w:p>
        </w:tc>
        <w:tc>
          <w:tcPr>
            <w:tcW w:w="2459" w:type="dxa"/>
            <w:tcBorders>
              <w:top w:val="single" w:sz="4" w:space="0" w:color="D9D9D9"/>
              <w:left w:val="single" w:sz="4" w:space="0" w:color="D9D9D9"/>
              <w:bottom w:val="single" w:sz="4" w:space="0" w:color="D9D9D9"/>
              <w:right w:val="single" w:sz="4" w:space="0" w:color="D9D9D9"/>
            </w:tcBorders>
            <w:shd w:val="clear" w:color="auto" w:fill="AA1A5F"/>
            <w:tcMar>
              <w:top w:w="100" w:type="dxa"/>
              <w:left w:w="115" w:type="dxa"/>
              <w:bottom w:w="100" w:type="dxa"/>
              <w:right w:w="115" w:type="dxa"/>
            </w:tcMar>
            <w:vAlign w:val="center"/>
          </w:tcPr>
          <w:p w:rsidR="00996BB5" w:rsidRDefault="00BD13D0">
            <w:pPr>
              <w:pBdr>
                <w:top w:val="nil"/>
                <w:left w:val="nil"/>
                <w:bottom w:val="nil"/>
                <w:right w:val="nil"/>
                <w:between w:val="nil"/>
              </w:pBdr>
              <w:spacing w:after="0" w:line="245" w:lineRule="auto"/>
              <w:jc w:val="center"/>
              <w:rPr>
                <w:color w:val="FFFFFF"/>
                <w:sz w:val="21"/>
                <w:szCs w:val="21"/>
              </w:rPr>
            </w:pPr>
            <w:r>
              <w:rPr>
                <w:rFonts w:ascii="Poppins" w:eastAsia="Poppins" w:hAnsi="Poppins" w:cs="Poppins"/>
                <w:b/>
                <w:bCs/>
                <w:color w:val="FFFFFF"/>
                <w:sz w:val="21"/>
                <w:szCs w:val="21"/>
              </w:rPr>
              <w:t>State</w:t>
            </w:r>
          </w:p>
        </w:tc>
        <w:tc>
          <w:tcPr>
            <w:tcW w:w="2477" w:type="dxa"/>
            <w:tcBorders>
              <w:top w:val="single" w:sz="4" w:space="0" w:color="D9D9D9"/>
              <w:left w:val="single" w:sz="4" w:space="0" w:color="D9D9D9"/>
              <w:bottom w:val="single" w:sz="4" w:space="0" w:color="D9D9D9"/>
              <w:right w:val="single" w:sz="4" w:space="0" w:color="D9D9D9"/>
            </w:tcBorders>
            <w:shd w:val="clear" w:color="auto" w:fill="AA1A5F"/>
            <w:tcMar>
              <w:top w:w="100" w:type="dxa"/>
              <w:left w:w="115" w:type="dxa"/>
              <w:bottom w:w="100" w:type="dxa"/>
              <w:right w:w="115" w:type="dxa"/>
            </w:tcMar>
            <w:vAlign w:val="center"/>
          </w:tcPr>
          <w:p w:rsidR="00996BB5" w:rsidRDefault="00BD13D0">
            <w:pPr>
              <w:pBdr>
                <w:top w:val="nil"/>
                <w:left w:val="nil"/>
                <w:bottom w:val="nil"/>
                <w:right w:val="nil"/>
                <w:between w:val="nil"/>
              </w:pBdr>
              <w:spacing w:after="0" w:line="245" w:lineRule="auto"/>
              <w:jc w:val="center"/>
              <w:rPr>
                <w:color w:val="FFFFFF"/>
                <w:sz w:val="21"/>
                <w:szCs w:val="21"/>
              </w:rPr>
            </w:pPr>
            <w:r>
              <w:rPr>
                <w:rFonts w:ascii="Poppins" w:eastAsia="Poppins" w:hAnsi="Poppins" w:cs="Poppins"/>
                <w:b/>
                <w:bCs/>
                <w:color w:val="FFFFFF"/>
                <w:sz w:val="21"/>
                <w:szCs w:val="21"/>
              </w:rPr>
              <w:t>Internal city</w:t>
            </w:r>
          </w:p>
        </w:tc>
      </w:tr>
      <w:tr w:rsidR="00996BB5">
        <w:trPr>
          <w:cantSplit/>
          <w:jc w:val="center"/>
        </w:trPr>
        <w:tc>
          <w:tcPr>
            <w:tcW w:w="2459"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Red Sea</w:t>
            </w:r>
          </w:p>
        </w:tc>
        <w:tc>
          <w:tcPr>
            <w:tcW w:w="2491"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Port Sudan</w:t>
            </w:r>
          </w:p>
        </w:tc>
        <w:tc>
          <w:tcPr>
            <w:tcW w:w="2459"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proofErr w:type="spellStart"/>
            <w:r>
              <w:rPr>
                <w:b/>
                <w:bCs/>
                <w:sz w:val="21"/>
                <w:szCs w:val="21"/>
              </w:rPr>
              <w:t>Kassala</w:t>
            </w:r>
            <w:proofErr w:type="spellEnd"/>
          </w:p>
        </w:tc>
        <w:tc>
          <w:tcPr>
            <w:tcW w:w="2477"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proofErr w:type="spellStart"/>
            <w:r>
              <w:rPr>
                <w:sz w:val="21"/>
                <w:szCs w:val="21"/>
              </w:rPr>
              <w:t>Kassala</w:t>
            </w:r>
            <w:proofErr w:type="spellEnd"/>
          </w:p>
        </w:tc>
      </w:tr>
      <w:tr w:rsidR="00996BB5">
        <w:trPr>
          <w:cantSplit/>
          <w:jc w:val="center"/>
        </w:trPr>
        <w:tc>
          <w:tcPr>
            <w:tcW w:w="2459"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proofErr w:type="spellStart"/>
            <w:r>
              <w:rPr>
                <w:b/>
                <w:bCs/>
                <w:sz w:val="21"/>
                <w:szCs w:val="21"/>
              </w:rPr>
              <w:t>Gedaref</w:t>
            </w:r>
            <w:proofErr w:type="spellEnd"/>
          </w:p>
        </w:tc>
        <w:tc>
          <w:tcPr>
            <w:tcW w:w="2491"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proofErr w:type="spellStart"/>
            <w:r>
              <w:rPr>
                <w:sz w:val="21"/>
                <w:szCs w:val="21"/>
              </w:rPr>
              <w:t>Gedaref</w:t>
            </w:r>
            <w:proofErr w:type="spellEnd"/>
          </w:p>
        </w:tc>
        <w:tc>
          <w:tcPr>
            <w:tcW w:w="2459"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Khartoum</w:t>
            </w:r>
          </w:p>
        </w:tc>
        <w:tc>
          <w:tcPr>
            <w:tcW w:w="2477"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Khartoum</w:t>
            </w:r>
          </w:p>
        </w:tc>
      </w:tr>
      <w:tr w:rsidR="00996BB5">
        <w:trPr>
          <w:cantSplit/>
          <w:jc w:val="center"/>
        </w:trPr>
        <w:tc>
          <w:tcPr>
            <w:tcW w:w="2459"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Gezira</w:t>
            </w:r>
          </w:p>
        </w:tc>
        <w:tc>
          <w:tcPr>
            <w:tcW w:w="2491"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 xml:space="preserve">Wad </w:t>
            </w:r>
            <w:proofErr w:type="spellStart"/>
            <w:r>
              <w:rPr>
                <w:sz w:val="21"/>
                <w:szCs w:val="21"/>
              </w:rPr>
              <w:t>Madani</w:t>
            </w:r>
            <w:proofErr w:type="spellEnd"/>
          </w:p>
        </w:tc>
        <w:tc>
          <w:tcPr>
            <w:tcW w:w="2459"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proofErr w:type="spellStart"/>
            <w:r>
              <w:rPr>
                <w:b/>
                <w:bCs/>
                <w:sz w:val="21"/>
                <w:szCs w:val="21"/>
              </w:rPr>
              <w:t>Sennar</w:t>
            </w:r>
            <w:proofErr w:type="spellEnd"/>
          </w:p>
        </w:tc>
        <w:tc>
          <w:tcPr>
            <w:tcW w:w="2477"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proofErr w:type="spellStart"/>
            <w:r>
              <w:rPr>
                <w:sz w:val="21"/>
                <w:szCs w:val="21"/>
              </w:rPr>
              <w:t>Sennar</w:t>
            </w:r>
            <w:proofErr w:type="spellEnd"/>
          </w:p>
        </w:tc>
      </w:tr>
      <w:tr w:rsidR="00996BB5">
        <w:trPr>
          <w:cantSplit/>
          <w:jc w:val="center"/>
        </w:trPr>
        <w:tc>
          <w:tcPr>
            <w:tcW w:w="2459"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Blue Nile</w:t>
            </w:r>
          </w:p>
        </w:tc>
        <w:tc>
          <w:tcPr>
            <w:tcW w:w="2491"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proofErr w:type="spellStart"/>
            <w:r>
              <w:rPr>
                <w:sz w:val="21"/>
                <w:szCs w:val="21"/>
              </w:rPr>
              <w:t>Damazin</w:t>
            </w:r>
            <w:proofErr w:type="spellEnd"/>
          </w:p>
        </w:tc>
        <w:tc>
          <w:tcPr>
            <w:tcW w:w="2459"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White Nile</w:t>
            </w:r>
          </w:p>
        </w:tc>
        <w:tc>
          <w:tcPr>
            <w:tcW w:w="2477"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proofErr w:type="spellStart"/>
            <w:r>
              <w:rPr>
                <w:sz w:val="21"/>
                <w:szCs w:val="21"/>
              </w:rPr>
              <w:t>Kosti</w:t>
            </w:r>
            <w:proofErr w:type="spellEnd"/>
          </w:p>
        </w:tc>
      </w:tr>
      <w:tr w:rsidR="00996BB5">
        <w:trPr>
          <w:cantSplit/>
          <w:jc w:val="center"/>
        </w:trPr>
        <w:tc>
          <w:tcPr>
            <w:tcW w:w="2459"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River Nile</w:t>
            </w:r>
          </w:p>
        </w:tc>
        <w:tc>
          <w:tcPr>
            <w:tcW w:w="2491"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Atbara</w:t>
            </w:r>
          </w:p>
        </w:tc>
        <w:tc>
          <w:tcPr>
            <w:tcW w:w="2459"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Northern</w:t>
            </w:r>
          </w:p>
        </w:tc>
        <w:tc>
          <w:tcPr>
            <w:tcW w:w="2477"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proofErr w:type="spellStart"/>
            <w:r>
              <w:rPr>
                <w:sz w:val="21"/>
                <w:szCs w:val="21"/>
              </w:rPr>
              <w:t>Merawi</w:t>
            </w:r>
            <w:proofErr w:type="spellEnd"/>
          </w:p>
        </w:tc>
      </w:tr>
      <w:tr w:rsidR="00996BB5">
        <w:trPr>
          <w:cantSplit/>
          <w:jc w:val="center"/>
        </w:trPr>
        <w:tc>
          <w:tcPr>
            <w:tcW w:w="2459"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 xml:space="preserve">North </w:t>
            </w:r>
            <w:proofErr w:type="spellStart"/>
            <w:r>
              <w:rPr>
                <w:b/>
                <w:bCs/>
                <w:sz w:val="21"/>
                <w:szCs w:val="21"/>
              </w:rPr>
              <w:t>Kordofan</w:t>
            </w:r>
            <w:proofErr w:type="spellEnd"/>
          </w:p>
        </w:tc>
        <w:tc>
          <w:tcPr>
            <w:tcW w:w="2491"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El-</w:t>
            </w:r>
            <w:proofErr w:type="spellStart"/>
            <w:r>
              <w:rPr>
                <w:sz w:val="21"/>
                <w:szCs w:val="21"/>
              </w:rPr>
              <w:t>Obied</w:t>
            </w:r>
            <w:proofErr w:type="spellEnd"/>
          </w:p>
        </w:tc>
        <w:tc>
          <w:tcPr>
            <w:tcW w:w="2459"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 xml:space="preserve">South </w:t>
            </w:r>
            <w:proofErr w:type="spellStart"/>
            <w:r>
              <w:rPr>
                <w:b/>
                <w:bCs/>
                <w:sz w:val="21"/>
                <w:szCs w:val="21"/>
              </w:rPr>
              <w:t>Kordofan</w:t>
            </w:r>
            <w:proofErr w:type="spellEnd"/>
          </w:p>
        </w:tc>
        <w:tc>
          <w:tcPr>
            <w:tcW w:w="2477"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proofErr w:type="spellStart"/>
            <w:r>
              <w:rPr>
                <w:sz w:val="21"/>
                <w:szCs w:val="21"/>
              </w:rPr>
              <w:t>Abujbaiha</w:t>
            </w:r>
            <w:proofErr w:type="spellEnd"/>
          </w:p>
        </w:tc>
      </w:tr>
    </w:tbl>
    <w:p w:rsidR="00996BB5" w:rsidRDefault="00996BB5">
      <w:pPr>
        <w:spacing w:after="0"/>
      </w:pPr>
    </w:p>
    <w:p w:rsidR="00996BB5" w:rsidRDefault="00BD13D0">
      <w:r>
        <w:t xml:space="preserve">The selected supplier must be able to serve all 12 listed states and both movement types in each state. The company may offer the vehicle categories it can reliably supply, but must quote at least one suitable category for every RFQ movement line. </w:t>
      </w:r>
      <w:proofErr w:type="gramStart"/>
      <w:r>
        <w:t>i-APS</w:t>
      </w:r>
      <w:proofErr w:type="gramEnd"/>
      <w:r>
        <w:t xml:space="preserve"> does not guarantee any number of service days or assignments.</w:t>
      </w:r>
    </w:p>
    <w:p w:rsidR="00996BB5" w:rsidRDefault="00BD13D0">
      <w:pPr>
        <w:pStyle w:val="Heading2"/>
      </w:pPr>
      <w:proofErr w:type="gramStart"/>
      <w:r>
        <w:rPr>
          <w:rFonts w:ascii="Poppins" w:eastAsia="Poppins" w:hAnsi="Poppins" w:cs="Poppins"/>
        </w:rPr>
        <w:t>A2  Vehicle</w:t>
      </w:r>
      <w:proofErr w:type="gramEnd"/>
      <w:r>
        <w:rPr>
          <w:rFonts w:ascii="Poppins" w:eastAsia="Poppins" w:hAnsi="Poppins" w:cs="Poppins"/>
        </w:rPr>
        <w:t xml:space="preserve"> categories</w:t>
      </w:r>
    </w:p>
    <w:tbl>
      <w:tblPr>
        <w:tblStyle w:val="a1"/>
        <w:tblW w:w="10991" w:type="dxa"/>
        <w:jc w:val="center"/>
        <w:tblLayout w:type="fixed"/>
        <w:tblLook w:val="0400" w:firstRow="0" w:lastRow="0" w:firstColumn="0" w:lastColumn="0" w:noHBand="0" w:noVBand="1"/>
      </w:tblPr>
      <w:tblGrid>
        <w:gridCol w:w="4435"/>
        <w:gridCol w:w="3278"/>
        <w:gridCol w:w="3278"/>
      </w:tblGrid>
      <w:tr w:rsidR="00996BB5">
        <w:trPr>
          <w:cantSplit/>
          <w:tblHeader/>
          <w:jc w:val="center"/>
        </w:trPr>
        <w:tc>
          <w:tcPr>
            <w:tcW w:w="4435" w:type="dxa"/>
            <w:tcBorders>
              <w:top w:val="single" w:sz="4" w:space="0" w:color="D9D9D9"/>
              <w:left w:val="single" w:sz="4" w:space="0" w:color="D9D9D9"/>
              <w:bottom w:val="single" w:sz="4" w:space="0" w:color="D9D9D9"/>
              <w:right w:val="single" w:sz="4" w:space="0" w:color="D9D9D9"/>
            </w:tcBorders>
            <w:shd w:val="clear" w:color="auto" w:fill="AA1A5F"/>
            <w:tcMar>
              <w:top w:w="100" w:type="dxa"/>
              <w:left w:w="115" w:type="dxa"/>
              <w:bottom w:w="100" w:type="dxa"/>
              <w:right w:w="115" w:type="dxa"/>
            </w:tcMar>
            <w:vAlign w:val="center"/>
          </w:tcPr>
          <w:p w:rsidR="00996BB5" w:rsidRDefault="00BD13D0">
            <w:pPr>
              <w:pBdr>
                <w:top w:val="nil"/>
                <w:left w:val="nil"/>
                <w:bottom w:val="nil"/>
                <w:right w:val="nil"/>
                <w:between w:val="nil"/>
              </w:pBdr>
              <w:spacing w:after="0" w:line="245" w:lineRule="auto"/>
              <w:jc w:val="center"/>
              <w:rPr>
                <w:color w:val="FFFFFF"/>
                <w:sz w:val="21"/>
                <w:szCs w:val="21"/>
              </w:rPr>
            </w:pPr>
            <w:r>
              <w:rPr>
                <w:rFonts w:ascii="Poppins" w:eastAsia="Poppins" w:hAnsi="Poppins" w:cs="Poppins"/>
                <w:b/>
                <w:bCs/>
                <w:color w:val="FFFFFF"/>
                <w:sz w:val="21"/>
                <w:szCs w:val="21"/>
              </w:rPr>
              <w:t>Category</w:t>
            </w:r>
          </w:p>
        </w:tc>
        <w:tc>
          <w:tcPr>
            <w:tcW w:w="3278" w:type="dxa"/>
            <w:tcBorders>
              <w:top w:val="single" w:sz="4" w:space="0" w:color="D9D9D9"/>
              <w:left w:val="single" w:sz="4" w:space="0" w:color="D9D9D9"/>
              <w:bottom w:val="single" w:sz="4" w:space="0" w:color="D9D9D9"/>
              <w:right w:val="single" w:sz="4" w:space="0" w:color="D9D9D9"/>
            </w:tcBorders>
            <w:shd w:val="clear" w:color="auto" w:fill="AA1A5F"/>
            <w:tcMar>
              <w:top w:w="100" w:type="dxa"/>
              <w:left w:w="115" w:type="dxa"/>
              <w:bottom w:w="100" w:type="dxa"/>
              <w:right w:w="115" w:type="dxa"/>
            </w:tcMar>
            <w:vAlign w:val="center"/>
          </w:tcPr>
          <w:p w:rsidR="00996BB5" w:rsidRDefault="00BD13D0">
            <w:pPr>
              <w:pBdr>
                <w:top w:val="nil"/>
                <w:left w:val="nil"/>
                <w:bottom w:val="nil"/>
                <w:right w:val="nil"/>
                <w:between w:val="nil"/>
              </w:pBdr>
              <w:spacing w:after="0" w:line="245" w:lineRule="auto"/>
              <w:jc w:val="center"/>
              <w:rPr>
                <w:color w:val="FFFFFF"/>
                <w:sz w:val="21"/>
                <w:szCs w:val="21"/>
              </w:rPr>
            </w:pPr>
            <w:r>
              <w:rPr>
                <w:rFonts w:ascii="Poppins" w:eastAsia="Poppins" w:hAnsi="Poppins" w:cs="Poppins"/>
                <w:b/>
                <w:bCs/>
                <w:color w:val="FFFFFF"/>
                <w:sz w:val="21"/>
                <w:szCs w:val="21"/>
              </w:rPr>
              <w:t>Minimum passenger capacity</w:t>
            </w:r>
          </w:p>
        </w:tc>
        <w:tc>
          <w:tcPr>
            <w:tcW w:w="3278" w:type="dxa"/>
            <w:tcBorders>
              <w:top w:val="single" w:sz="4" w:space="0" w:color="D9D9D9"/>
              <w:left w:val="single" w:sz="4" w:space="0" w:color="D9D9D9"/>
              <w:bottom w:val="single" w:sz="4" w:space="0" w:color="D9D9D9"/>
              <w:right w:val="single" w:sz="4" w:space="0" w:color="D9D9D9"/>
            </w:tcBorders>
            <w:shd w:val="clear" w:color="auto" w:fill="AA1A5F"/>
            <w:tcMar>
              <w:top w:w="100" w:type="dxa"/>
              <w:left w:w="115" w:type="dxa"/>
              <w:bottom w:w="100" w:type="dxa"/>
              <w:right w:w="115" w:type="dxa"/>
            </w:tcMar>
            <w:vAlign w:val="center"/>
          </w:tcPr>
          <w:p w:rsidR="00996BB5" w:rsidRDefault="00BD13D0">
            <w:pPr>
              <w:pBdr>
                <w:top w:val="nil"/>
                <w:left w:val="nil"/>
                <w:bottom w:val="nil"/>
                <w:right w:val="nil"/>
                <w:between w:val="nil"/>
              </w:pBdr>
              <w:spacing w:after="0" w:line="245" w:lineRule="auto"/>
              <w:jc w:val="center"/>
              <w:rPr>
                <w:color w:val="FFFFFF"/>
                <w:sz w:val="21"/>
                <w:szCs w:val="21"/>
              </w:rPr>
            </w:pPr>
            <w:r>
              <w:rPr>
                <w:rFonts w:ascii="Poppins" w:eastAsia="Poppins" w:hAnsi="Poppins" w:cs="Poppins"/>
                <w:b/>
                <w:bCs/>
                <w:color w:val="FFFFFF"/>
                <w:sz w:val="21"/>
                <w:szCs w:val="21"/>
              </w:rPr>
              <w:t>Typical use</w:t>
            </w:r>
          </w:p>
        </w:tc>
      </w:tr>
      <w:tr w:rsidR="00996BB5">
        <w:trPr>
          <w:cantSplit/>
          <w:jc w:val="center"/>
        </w:trPr>
        <w:tc>
          <w:tcPr>
            <w:tcW w:w="4435"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 xml:space="preserve">Sedan or equivalent </w:t>
            </w:r>
          </w:p>
        </w:tc>
        <w:tc>
          <w:tcPr>
            <w:tcW w:w="3278"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4 plus driver</w:t>
            </w:r>
          </w:p>
        </w:tc>
        <w:tc>
          <w:tcPr>
            <w:tcW w:w="3278"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City and paved routes</w:t>
            </w:r>
          </w:p>
        </w:tc>
      </w:tr>
      <w:tr w:rsidR="00996BB5">
        <w:trPr>
          <w:cantSplit/>
          <w:jc w:val="center"/>
        </w:trPr>
        <w:tc>
          <w:tcPr>
            <w:tcW w:w="4435"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4x4 double-cabin pickup or equivalent</w:t>
            </w:r>
          </w:p>
        </w:tc>
        <w:tc>
          <w:tcPr>
            <w:tcW w:w="3278"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4 plus driver</w:t>
            </w:r>
          </w:p>
        </w:tc>
        <w:tc>
          <w:tcPr>
            <w:tcW w:w="3278"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Field and difficult roads</w:t>
            </w:r>
          </w:p>
        </w:tc>
      </w:tr>
      <w:tr w:rsidR="00996BB5">
        <w:trPr>
          <w:cantSplit/>
          <w:jc w:val="center"/>
        </w:trPr>
        <w:tc>
          <w:tcPr>
            <w:tcW w:w="4435"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Land Cruiser station wagon or equivalent</w:t>
            </w:r>
          </w:p>
        </w:tc>
        <w:tc>
          <w:tcPr>
            <w:tcW w:w="3278"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6 plus driver</w:t>
            </w:r>
          </w:p>
        </w:tc>
        <w:tc>
          <w:tcPr>
            <w:tcW w:w="3278"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Field teams and longer routes</w:t>
            </w:r>
          </w:p>
        </w:tc>
      </w:tr>
      <w:tr w:rsidR="00996BB5">
        <w:trPr>
          <w:cantSplit/>
          <w:jc w:val="center"/>
        </w:trPr>
        <w:tc>
          <w:tcPr>
            <w:tcW w:w="4435"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14–18-seat minibus (</w:t>
            </w:r>
            <w:proofErr w:type="spellStart"/>
            <w:r>
              <w:rPr>
                <w:b/>
                <w:bCs/>
                <w:sz w:val="21"/>
                <w:szCs w:val="21"/>
              </w:rPr>
              <w:t>Hiace</w:t>
            </w:r>
            <w:proofErr w:type="spellEnd"/>
            <w:r>
              <w:rPr>
                <w:b/>
                <w:bCs/>
                <w:sz w:val="21"/>
                <w:szCs w:val="21"/>
              </w:rPr>
              <w:t>) or equivalent</w:t>
            </w:r>
          </w:p>
        </w:tc>
        <w:tc>
          <w:tcPr>
            <w:tcW w:w="3278"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14–18 plus driver</w:t>
            </w:r>
          </w:p>
        </w:tc>
        <w:tc>
          <w:tcPr>
            <w:tcW w:w="3278"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Larger field teams</w:t>
            </w:r>
          </w:p>
        </w:tc>
      </w:tr>
    </w:tbl>
    <w:p w:rsidR="00996BB5" w:rsidRDefault="00996BB5">
      <w:pPr>
        <w:spacing w:after="0"/>
      </w:pPr>
    </w:p>
    <w:p w:rsidR="00996BB5" w:rsidRDefault="00BD13D0">
      <w:r>
        <w:t xml:space="preserve">An equivalent vehicle must meet the required capacity, road suitability and safety standard. </w:t>
      </w:r>
      <w:proofErr w:type="gramStart"/>
      <w:r>
        <w:t>i-APS</w:t>
      </w:r>
      <w:proofErr w:type="gramEnd"/>
      <w:r>
        <w:t xml:space="preserve"> may inspect any proposed vehicle before approval or deployment.</w:t>
      </w:r>
    </w:p>
    <w:p w:rsidR="00996BB5" w:rsidRDefault="00BD13D0">
      <w:pPr>
        <w:pStyle w:val="Heading2"/>
      </w:pPr>
      <w:proofErr w:type="gramStart"/>
      <w:r>
        <w:rPr>
          <w:rFonts w:ascii="Poppins" w:eastAsia="Poppins" w:hAnsi="Poppins" w:cs="Poppins"/>
        </w:rPr>
        <w:t>A3  Vehicle</w:t>
      </w:r>
      <w:proofErr w:type="gramEnd"/>
      <w:r>
        <w:rPr>
          <w:rFonts w:ascii="Poppins" w:eastAsia="Poppins" w:hAnsi="Poppins" w:cs="Poppins"/>
        </w:rPr>
        <w:t xml:space="preserve"> and driver requirements</w:t>
      </w:r>
    </w:p>
    <w:p w:rsidR="00996BB5" w:rsidRDefault="00BD13D0">
      <w:pPr>
        <w:numPr>
          <w:ilvl w:val="0"/>
          <w:numId w:val="1"/>
        </w:numPr>
        <w:pBdr>
          <w:top w:val="nil"/>
          <w:left w:val="nil"/>
          <w:bottom w:val="nil"/>
          <w:right w:val="nil"/>
          <w:between w:val="nil"/>
        </w:pBdr>
        <w:spacing w:after="0"/>
      </w:pPr>
      <w:r>
        <w:t xml:space="preserve">Each vehicle must have valid registration, authorization to rent where the company is not the </w:t>
      </w:r>
      <w:proofErr w:type="gramStart"/>
      <w:r>
        <w:t>owner,</w:t>
      </w:r>
      <w:proofErr w:type="gramEnd"/>
      <w:r>
        <w:t xml:space="preserve"> and insurance covering the vehicle, driver, passengers and third parties.</w:t>
      </w:r>
    </w:p>
    <w:p w:rsidR="00996BB5" w:rsidRDefault="00BD13D0">
      <w:pPr>
        <w:numPr>
          <w:ilvl w:val="0"/>
          <w:numId w:val="1"/>
        </w:numPr>
        <w:pBdr>
          <w:top w:val="nil"/>
          <w:left w:val="nil"/>
          <w:bottom w:val="nil"/>
          <w:right w:val="nil"/>
          <w:between w:val="nil"/>
        </w:pBdr>
        <w:spacing w:after="0"/>
      </w:pPr>
      <w:r>
        <w:t xml:space="preserve">Vehicles must be mechanically sound, air-conditioned, clean, fitted with working seatbelts for all occupants, sound </w:t>
      </w:r>
      <w:proofErr w:type="spellStart"/>
      <w:r>
        <w:t>tyres</w:t>
      </w:r>
      <w:proofErr w:type="spellEnd"/>
      <w:r>
        <w:t xml:space="preserve"> and a spare, first-aid kit, fire extinguisher, warning triangle and basic recovery tools.</w:t>
      </w:r>
    </w:p>
    <w:p w:rsidR="00996BB5" w:rsidRDefault="00BD13D0">
      <w:pPr>
        <w:numPr>
          <w:ilvl w:val="0"/>
          <w:numId w:val="1"/>
        </w:numPr>
        <w:pBdr>
          <w:top w:val="nil"/>
          <w:left w:val="nil"/>
          <w:bottom w:val="nil"/>
          <w:right w:val="nil"/>
          <w:between w:val="nil"/>
        </w:pBdr>
        <w:spacing w:after="0"/>
      </w:pPr>
      <w:r>
        <w:t xml:space="preserve">Drivers must hold a valid </w:t>
      </w:r>
      <w:proofErr w:type="spellStart"/>
      <w:r>
        <w:t>licence</w:t>
      </w:r>
      <w:proofErr w:type="spellEnd"/>
      <w:r>
        <w:t xml:space="preserve"> for the vehicle class, have at least five years of relevant driving experience, know the assigned routes, follow safety instructions and treat passengers respectfully.</w:t>
      </w:r>
    </w:p>
    <w:p w:rsidR="00996BB5" w:rsidRDefault="00BD13D0">
      <w:pPr>
        <w:numPr>
          <w:ilvl w:val="0"/>
          <w:numId w:val="1"/>
        </w:numPr>
        <w:pBdr>
          <w:top w:val="nil"/>
          <w:left w:val="nil"/>
          <w:bottom w:val="nil"/>
          <w:right w:val="nil"/>
          <w:between w:val="nil"/>
        </w:pBdr>
        <w:spacing w:after="50"/>
      </w:pPr>
      <w:r>
        <w:t>The company is responsible for driver pay, rest, meals, accommodation and statutory obligations, and for vehicle maintenance, fuel, repairs, recovery and replacement.</w:t>
      </w:r>
    </w:p>
    <w:p w:rsidR="00996BB5" w:rsidRDefault="00BD13D0">
      <w:pPr>
        <w:pStyle w:val="Heading2"/>
      </w:pPr>
      <w:proofErr w:type="gramStart"/>
      <w:r>
        <w:rPr>
          <w:rFonts w:ascii="Poppins" w:eastAsia="Poppins" w:hAnsi="Poppins" w:cs="Poppins"/>
        </w:rPr>
        <w:t>A4  Operating</w:t>
      </w:r>
      <w:proofErr w:type="gramEnd"/>
      <w:r>
        <w:rPr>
          <w:rFonts w:ascii="Poppins" w:eastAsia="Poppins" w:hAnsi="Poppins" w:cs="Poppins"/>
        </w:rPr>
        <w:t xml:space="preserve"> and acceptance requirements</w:t>
      </w:r>
    </w:p>
    <w:p w:rsidR="00996BB5" w:rsidRDefault="00BD13D0">
      <w:pPr>
        <w:numPr>
          <w:ilvl w:val="0"/>
          <w:numId w:val="1"/>
        </w:numPr>
        <w:pBdr>
          <w:top w:val="nil"/>
          <w:left w:val="nil"/>
          <w:bottom w:val="nil"/>
          <w:right w:val="nil"/>
          <w:between w:val="nil"/>
        </w:pBdr>
        <w:spacing w:after="0"/>
      </w:pPr>
      <w:proofErr w:type="gramStart"/>
      <w:r>
        <w:t>i-APS</w:t>
      </w:r>
      <w:proofErr w:type="gramEnd"/>
      <w:r>
        <w:t xml:space="preserve"> will issue an authorized Purchase Order before service starts. It will state the dates, state, movement type, vehicle category, quantity, approved rate and focal point. No verbal deployment creates a billable assignment.</w:t>
      </w:r>
    </w:p>
    <w:p w:rsidR="00996BB5" w:rsidRDefault="00BD13D0">
      <w:pPr>
        <w:numPr>
          <w:ilvl w:val="0"/>
          <w:numId w:val="1"/>
        </w:numPr>
        <w:pBdr>
          <w:top w:val="nil"/>
          <w:left w:val="nil"/>
          <w:bottom w:val="nil"/>
          <w:right w:val="nil"/>
          <w:between w:val="nil"/>
        </w:pBdr>
        <w:spacing w:after="0"/>
      </w:pPr>
      <w:r>
        <w:t>Routine requests normally give 12 hours written notice. The company shall confirm availability promptly and ensure the driver arrives at least 15 minutes before the agreed departure.</w:t>
      </w:r>
    </w:p>
    <w:p w:rsidR="00996BB5" w:rsidRDefault="00BD13D0">
      <w:pPr>
        <w:numPr>
          <w:ilvl w:val="0"/>
          <w:numId w:val="1"/>
        </w:numPr>
        <w:pBdr>
          <w:top w:val="nil"/>
          <w:left w:val="nil"/>
          <w:bottom w:val="nil"/>
          <w:right w:val="nil"/>
          <w:between w:val="nil"/>
        </w:pBdr>
        <w:spacing w:after="0"/>
      </w:pPr>
      <w:r>
        <w:t>Services are not limited to an 8-hour working day or a fixed number of daily duty hours. Schedules depend on the approved assignment and may include extended hours and overnight fieldwork, subject to approved driving and rest limits. Payment is calculated per vehicle per authorized and accepted day only, irrespective of the number of duty hours. No hourly, overtime, night-work or other working-hours surcharge is payable. Any route, date, vehicle or driver substitution needs prior written approval. The Purchase Order will define the authorized service and availability days for each assignment.</w:t>
      </w:r>
    </w:p>
    <w:p w:rsidR="00996BB5" w:rsidRDefault="00BD13D0">
      <w:pPr>
        <w:numPr>
          <w:ilvl w:val="0"/>
          <w:numId w:val="1"/>
        </w:numPr>
        <w:pBdr>
          <w:top w:val="nil"/>
          <w:left w:val="nil"/>
          <w:bottom w:val="nil"/>
          <w:right w:val="nil"/>
          <w:between w:val="nil"/>
        </w:pBdr>
        <w:spacing w:after="0"/>
      </w:pPr>
      <w:r>
        <w:t>Field assignments may involve changing daily schedules, overnight fieldwork and overnight stays at field locations for several consecutive days, often up to a week. The vehicle and driver shall accompany the team and remain available for approved movements under the agreed itinerary. i-APS will coordinate the itinerary to allow adequate driver rest. Authorized onsite availability days are billable at the agreed daily rate when specified in the Purchase Order and recorded on the signed movement log, even if no journey occurs that day. The company shall plan driver staffing and subsistence accordingly and include all related costs in its daily rates.</w:t>
      </w:r>
    </w:p>
    <w:p w:rsidR="00996BB5" w:rsidRDefault="00BD13D0">
      <w:pPr>
        <w:numPr>
          <w:ilvl w:val="0"/>
          <w:numId w:val="1"/>
        </w:numPr>
        <w:pBdr>
          <w:top w:val="nil"/>
          <w:left w:val="nil"/>
          <w:bottom w:val="nil"/>
          <w:right w:val="nil"/>
          <w:between w:val="nil"/>
        </w:pBdr>
        <w:spacing w:after="0"/>
      </w:pPr>
      <w:r>
        <w:t>Report breakdowns, delays, accidents and security or safeguarding incidents immediately. Provide an approved equivalent or higher-category replacement as soon as practicable; unserviceable time is not payable.</w:t>
      </w:r>
    </w:p>
    <w:p w:rsidR="00996BB5" w:rsidRDefault="00BD13D0">
      <w:pPr>
        <w:numPr>
          <w:ilvl w:val="0"/>
          <w:numId w:val="1"/>
        </w:numPr>
        <w:pBdr>
          <w:top w:val="nil"/>
          <w:left w:val="nil"/>
          <w:bottom w:val="nil"/>
          <w:right w:val="nil"/>
          <w:between w:val="nil"/>
        </w:pBdr>
        <w:spacing w:after="50"/>
      </w:pPr>
      <w:r>
        <w:t>Record each authorized service or onsite availability day and vehicle separately on a complete movement log showing date, duty times, route or location, odometer readings where movement occurs, vehicle plate and driver. Obtain the authorized i-APS signature for acceptance. Unapproved days and unserviceable time are not payable.</w:t>
      </w:r>
    </w:p>
    <w:p w:rsidR="00996BB5" w:rsidRDefault="00BD13D0">
      <w:pPr>
        <w:pStyle w:val="Heading1"/>
        <w:pageBreakBefore/>
      </w:pPr>
      <w:r>
        <w:rPr>
          <w:rFonts w:ascii="Poppins" w:eastAsia="Poppins" w:hAnsi="Poppins" w:cs="Poppins"/>
        </w:rPr>
        <w:t xml:space="preserve">Annex </w:t>
      </w:r>
      <w:proofErr w:type="gramStart"/>
      <w:r>
        <w:rPr>
          <w:rFonts w:ascii="Poppins" w:eastAsia="Poppins" w:hAnsi="Poppins" w:cs="Poppins"/>
        </w:rPr>
        <w:t>B  Financial</w:t>
      </w:r>
      <w:proofErr w:type="gramEnd"/>
      <w:r>
        <w:rPr>
          <w:rFonts w:ascii="Poppins" w:eastAsia="Poppins" w:hAnsi="Poppins" w:cs="Poppins"/>
        </w:rPr>
        <w:t xml:space="preserve"> Offer</w:t>
      </w:r>
    </w:p>
    <w:p w:rsidR="00996BB5" w:rsidRDefault="00BD13D0">
      <w:r>
        <w:t>Complete the separate</w:t>
      </w:r>
      <w:r>
        <w:rPr>
          <w:b/>
          <w:bCs/>
        </w:rPr>
        <w:t xml:space="preserve"> RFQ in Excel or PDF format, or both, as the financial offer</w:t>
      </w:r>
      <w:r>
        <w:t xml:space="preserve">. Enter a </w:t>
      </w:r>
      <w:r>
        <w:rPr>
          <w:b/>
          <w:bCs/>
        </w:rPr>
        <w:t>USD</w:t>
      </w:r>
      <w:r>
        <w:t xml:space="preserve"> daily rate for at least one suitable vehicle category in every listed state and movement line, and for any additional categories offered. Leave a category blank only when genuinely unavailable; explain any limitation in the technical offer. Do not enter prices in this document.</w:t>
      </w:r>
    </w:p>
    <w:p w:rsidR="00996BB5" w:rsidRDefault="00BD13D0">
      <w:pPr>
        <w:pStyle w:val="Heading2"/>
      </w:pPr>
      <w:proofErr w:type="gramStart"/>
      <w:r>
        <w:rPr>
          <w:rFonts w:ascii="Poppins" w:eastAsia="Poppins" w:hAnsi="Poppins" w:cs="Poppins"/>
        </w:rPr>
        <w:t>B1  What</w:t>
      </w:r>
      <w:proofErr w:type="gramEnd"/>
      <w:r>
        <w:rPr>
          <w:rFonts w:ascii="Poppins" w:eastAsia="Poppins" w:hAnsi="Poppins" w:cs="Poppins"/>
        </w:rPr>
        <w:t xml:space="preserve"> the rate includes</w:t>
      </w:r>
    </w:p>
    <w:p w:rsidR="00996BB5" w:rsidRDefault="00BD13D0">
      <w:pPr>
        <w:numPr>
          <w:ilvl w:val="0"/>
          <w:numId w:val="1"/>
        </w:numPr>
        <w:pBdr>
          <w:top w:val="nil"/>
          <w:left w:val="nil"/>
          <w:bottom w:val="nil"/>
          <w:right w:val="nil"/>
          <w:between w:val="nil"/>
        </w:pBdr>
        <w:spacing w:after="0"/>
      </w:pPr>
      <w:r>
        <w:t xml:space="preserve">Vehicle and licensed driver, fuel, insurance, maintenance, </w:t>
      </w:r>
      <w:proofErr w:type="spellStart"/>
      <w:r>
        <w:t>tyres</w:t>
      </w:r>
      <w:proofErr w:type="spellEnd"/>
      <w:r>
        <w:t>, repairs and normal operating costs.</w:t>
      </w:r>
    </w:p>
    <w:p w:rsidR="00996BB5" w:rsidRDefault="00BD13D0">
      <w:pPr>
        <w:numPr>
          <w:ilvl w:val="0"/>
          <w:numId w:val="1"/>
        </w:numPr>
        <w:pBdr>
          <w:top w:val="nil"/>
          <w:left w:val="nil"/>
          <w:bottom w:val="nil"/>
          <w:right w:val="nil"/>
          <w:between w:val="nil"/>
        </w:pBdr>
        <w:spacing w:after="0"/>
      </w:pPr>
      <w:r>
        <w:t>Driver salary, accommodation, meals and per diem, including during extended hours, overnight fieldwork and overnight stays, plus recovery and an approved replacement when needed. Suppliers must quote all-inclusive daily rates reflecting these requirements. No hourly, overtime, night-work, overnight-stay, driver subsistence or other working-hours surcharge will be paid. The agreed daily rate applies irrespective of duty hours, subject to approved driving and rest limits.</w:t>
      </w:r>
    </w:p>
    <w:p w:rsidR="00996BB5" w:rsidRDefault="00BD13D0">
      <w:pPr>
        <w:numPr>
          <w:ilvl w:val="0"/>
          <w:numId w:val="1"/>
        </w:numPr>
        <w:pBdr>
          <w:top w:val="nil"/>
          <w:left w:val="nil"/>
          <w:bottom w:val="nil"/>
          <w:right w:val="nil"/>
          <w:between w:val="nil"/>
        </w:pBdr>
        <w:spacing w:after="0"/>
      </w:pPr>
      <w:r>
        <w:t>Applicable company taxes, permits, tolls, communications, overhead and profit. No hidden surcharge is payable.</w:t>
      </w:r>
    </w:p>
    <w:p w:rsidR="00996BB5" w:rsidRDefault="00996BB5">
      <w:pPr>
        <w:pBdr>
          <w:top w:val="nil"/>
          <w:left w:val="nil"/>
          <w:bottom w:val="nil"/>
          <w:right w:val="nil"/>
          <w:between w:val="nil"/>
        </w:pBdr>
        <w:spacing w:after="50"/>
        <w:ind w:left="374" w:hanging="187"/>
      </w:pPr>
    </w:p>
    <w:p w:rsidR="00996BB5" w:rsidRDefault="00BD13D0">
      <w:r>
        <w:t xml:space="preserve">The RFQ uses one comparison unit per line; this is not a purchase commitment. Its vehicle subtotals and grand total sum only quoted rates and help review the offer. </w:t>
      </w:r>
      <w:proofErr w:type="gramStart"/>
      <w:r>
        <w:t>i-APS</w:t>
      </w:r>
      <w:proofErr w:type="gramEnd"/>
      <w:r>
        <w:t xml:space="preserve"> will compare like-for-like state, movement and vehicle requirements and the coverage of each offer. A smaller total caused by unquoted categories is not by itself a cheaper comparable offer.</w:t>
      </w:r>
    </w:p>
    <w:p w:rsidR="00996BB5" w:rsidRDefault="00996BB5"/>
    <w:p w:rsidR="00996BB5" w:rsidRDefault="00BD13D0" w:rsidP="007E584A">
      <w:r>
        <w:t xml:space="preserve">Quoted rates are valid for 45 calendar days after the submission deadline. Once accepted, the rates are fixed for the full 12-month framework agreement. No increase, rate adjustment or additional charge applies to the quoted services during that term. </w:t>
      </w:r>
      <w:r w:rsidR="007E584A">
        <w:t>A</w:t>
      </w:r>
      <w:r>
        <w:t>ny document required by Sudanese law may be requested for contracting or payment.</w:t>
      </w:r>
    </w:p>
    <w:p w:rsidR="00996BB5" w:rsidRDefault="00BD13D0">
      <w:pPr>
        <w:pStyle w:val="Heading1"/>
        <w:pageBreakBefore/>
      </w:pPr>
      <w:r>
        <w:rPr>
          <w:rFonts w:ascii="Poppins" w:eastAsia="Poppins" w:hAnsi="Poppins" w:cs="Poppins"/>
        </w:rPr>
        <w:t xml:space="preserve">Annex </w:t>
      </w:r>
      <w:proofErr w:type="gramStart"/>
      <w:r>
        <w:rPr>
          <w:rFonts w:ascii="Poppins" w:eastAsia="Poppins" w:hAnsi="Poppins" w:cs="Poppins"/>
        </w:rPr>
        <w:t>C  Company</w:t>
      </w:r>
      <w:proofErr w:type="gramEnd"/>
      <w:r>
        <w:rPr>
          <w:rFonts w:ascii="Poppins" w:eastAsia="Poppins" w:hAnsi="Poppins" w:cs="Poppins"/>
        </w:rPr>
        <w:t xml:space="preserve"> Offer Questionnaire</w:t>
      </w:r>
    </w:p>
    <w:p w:rsidR="00996BB5" w:rsidRDefault="00BD13D0">
      <w:r>
        <w:t>Complete Sections 1 to 4 for all listed states and both movement types. Enter Yes or No where requested, give concise details in the response fields, and identify supporting files. Explain any unavailable vehicle category or other exception. Return this signed Word document as the technical offer and enter all rates in the separate RFQ in Excel or PDF format, or both.</w:t>
      </w:r>
    </w:p>
    <w:tbl>
      <w:tblPr>
        <w:tblStyle w:val="a2"/>
        <w:tblW w:w="11095" w:type="dxa"/>
        <w:jc w:val="center"/>
        <w:tblLayout w:type="fixed"/>
        <w:tblLook w:val="0400" w:firstRow="0" w:lastRow="0" w:firstColumn="0" w:lastColumn="0" w:noHBand="0" w:noVBand="1"/>
      </w:tblPr>
      <w:tblGrid>
        <w:gridCol w:w="4917"/>
        <w:gridCol w:w="6178"/>
      </w:tblGrid>
      <w:tr w:rsidR="00996BB5">
        <w:trPr>
          <w:cantSplit/>
          <w:tblHeader/>
          <w:jc w:val="center"/>
        </w:trPr>
        <w:tc>
          <w:tcPr>
            <w:tcW w:w="4917" w:type="dxa"/>
            <w:tcBorders>
              <w:top w:val="single" w:sz="4" w:space="0" w:color="D9D9D9"/>
              <w:left w:val="single" w:sz="4" w:space="0" w:color="D9D9D9"/>
              <w:bottom w:val="single" w:sz="4" w:space="0" w:color="D9D9D9"/>
              <w:right w:val="single" w:sz="4" w:space="0" w:color="D9D9D9"/>
            </w:tcBorders>
            <w:shd w:val="clear" w:color="auto" w:fill="AA1A5F"/>
            <w:tcMar>
              <w:top w:w="100" w:type="dxa"/>
              <w:left w:w="115" w:type="dxa"/>
              <w:bottom w:w="100" w:type="dxa"/>
              <w:right w:w="115" w:type="dxa"/>
            </w:tcMar>
            <w:vAlign w:val="center"/>
          </w:tcPr>
          <w:p w:rsidR="00996BB5" w:rsidRDefault="00BD13D0">
            <w:pPr>
              <w:pBdr>
                <w:top w:val="nil"/>
                <w:left w:val="nil"/>
                <w:bottom w:val="nil"/>
                <w:right w:val="nil"/>
                <w:between w:val="nil"/>
              </w:pBdr>
              <w:spacing w:after="0" w:line="245" w:lineRule="auto"/>
              <w:jc w:val="center"/>
              <w:rPr>
                <w:color w:val="FFFFFF"/>
                <w:sz w:val="21"/>
                <w:szCs w:val="21"/>
              </w:rPr>
            </w:pPr>
            <w:r>
              <w:rPr>
                <w:rFonts w:ascii="Poppins" w:eastAsia="Poppins" w:hAnsi="Poppins" w:cs="Poppins"/>
                <w:b/>
                <w:bCs/>
                <w:color w:val="FFFFFF"/>
                <w:sz w:val="21"/>
                <w:szCs w:val="21"/>
              </w:rPr>
              <w:t>Company information</w:t>
            </w:r>
          </w:p>
        </w:tc>
        <w:tc>
          <w:tcPr>
            <w:tcW w:w="6178" w:type="dxa"/>
            <w:tcBorders>
              <w:top w:val="single" w:sz="4" w:space="0" w:color="D9D9D9"/>
              <w:left w:val="single" w:sz="4" w:space="0" w:color="D9D9D9"/>
              <w:bottom w:val="single" w:sz="4" w:space="0" w:color="D9D9D9"/>
              <w:right w:val="single" w:sz="4" w:space="0" w:color="D9D9D9"/>
            </w:tcBorders>
            <w:shd w:val="clear" w:color="auto" w:fill="AA1A5F"/>
            <w:tcMar>
              <w:top w:w="100" w:type="dxa"/>
              <w:left w:w="115" w:type="dxa"/>
              <w:bottom w:w="100" w:type="dxa"/>
              <w:right w:w="115" w:type="dxa"/>
            </w:tcMar>
            <w:vAlign w:val="center"/>
          </w:tcPr>
          <w:p w:rsidR="00996BB5" w:rsidRDefault="00BD13D0">
            <w:pPr>
              <w:pBdr>
                <w:top w:val="nil"/>
                <w:left w:val="nil"/>
                <w:bottom w:val="nil"/>
                <w:right w:val="nil"/>
                <w:between w:val="nil"/>
              </w:pBdr>
              <w:spacing w:after="0" w:line="245" w:lineRule="auto"/>
              <w:jc w:val="center"/>
              <w:rPr>
                <w:color w:val="FFFFFF"/>
                <w:sz w:val="21"/>
                <w:szCs w:val="21"/>
              </w:rPr>
            </w:pPr>
            <w:r>
              <w:rPr>
                <w:rFonts w:ascii="Poppins" w:eastAsia="Poppins" w:hAnsi="Poppins" w:cs="Poppins"/>
                <w:b/>
                <w:bCs/>
                <w:color w:val="FFFFFF"/>
                <w:sz w:val="21"/>
                <w:szCs w:val="21"/>
              </w:rPr>
              <w:t>Response</w:t>
            </w:r>
          </w:p>
        </w:tc>
      </w:tr>
      <w:tr w:rsidR="00996BB5">
        <w:trPr>
          <w:cantSplit/>
          <w:jc w:val="center"/>
        </w:trPr>
        <w:tc>
          <w:tcPr>
            <w:tcW w:w="4917"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Registered company name</w:t>
            </w:r>
          </w:p>
        </w:tc>
        <w:tc>
          <w:tcPr>
            <w:tcW w:w="6178"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r>
      <w:tr w:rsidR="00996BB5">
        <w:trPr>
          <w:cantSplit/>
          <w:jc w:val="center"/>
        </w:trPr>
        <w:tc>
          <w:tcPr>
            <w:tcW w:w="4917"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Registration number</w:t>
            </w:r>
          </w:p>
        </w:tc>
        <w:tc>
          <w:tcPr>
            <w:tcW w:w="6178"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r>
      <w:tr w:rsidR="00996BB5">
        <w:trPr>
          <w:cantSplit/>
          <w:jc w:val="center"/>
        </w:trPr>
        <w:tc>
          <w:tcPr>
            <w:tcW w:w="4917"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Office address and base state</w:t>
            </w:r>
          </w:p>
        </w:tc>
        <w:tc>
          <w:tcPr>
            <w:tcW w:w="6178"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r>
      <w:tr w:rsidR="00996BB5">
        <w:trPr>
          <w:cantSplit/>
          <w:jc w:val="center"/>
        </w:trPr>
        <w:tc>
          <w:tcPr>
            <w:tcW w:w="4917"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Contact person and position</w:t>
            </w:r>
          </w:p>
        </w:tc>
        <w:tc>
          <w:tcPr>
            <w:tcW w:w="6178"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r>
      <w:tr w:rsidR="00996BB5">
        <w:trPr>
          <w:cantSplit/>
          <w:jc w:val="center"/>
        </w:trPr>
        <w:tc>
          <w:tcPr>
            <w:tcW w:w="4917"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Phone and email</w:t>
            </w:r>
          </w:p>
        </w:tc>
        <w:tc>
          <w:tcPr>
            <w:tcW w:w="6178"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r>
      <w:tr w:rsidR="00996BB5">
        <w:trPr>
          <w:cantSplit/>
          <w:jc w:val="center"/>
        </w:trPr>
        <w:tc>
          <w:tcPr>
            <w:tcW w:w="4917"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r>
              <w:rPr>
                <w:sz w:val="21"/>
                <w:szCs w:val="21"/>
              </w:rPr>
              <w:t>States and vehicle categories offered (attach coverage plan)</w:t>
            </w:r>
          </w:p>
        </w:tc>
        <w:tc>
          <w:tcPr>
            <w:tcW w:w="6178"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r>
    </w:tbl>
    <w:p w:rsidR="00996BB5" w:rsidRDefault="00BD13D0">
      <w:pPr>
        <w:pStyle w:val="Heading2"/>
      </w:pPr>
      <w:r>
        <w:rPr>
          <w:rFonts w:ascii="Poppins" w:eastAsia="Poppins" w:hAnsi="Poppins" w:cs="Poppins"/>
        </w:rPr>
        <w:t>Section 1 – Mandatory Company and Fleet Requirements</w:t>
      </w:r>
    </w:p>
    <w:p w:rsidR="00996BB5" w:rsidRDefault="00BD13D0">
      <w:r>
        <w:t>These minimum requirements are checked before an offer proceeds to further review. Answer each item and identify the supporting evidence. A material gap may make the offer non-compliant.</w:t>
      </w:r>
    </w:p>
    <w:tbl>
      <w:tblPr>
        <w:tblStyle w:val="a3"/>
        <w:tblpPr w:leftFromText="180" w:rightFromText="180" w:vertAnchor="text" w:tblpXSpec="center" w:tblpY="370"/>
        <w:tblW w:w="9072" w:type="dxa"/>
        <w:jc w:val="center"/>
        <w:tblLayout w:type="fixed"/>
        <w:tblLook w:val="0400" w:firstRow="0" w:lastRow="0" w:firstColumn="0" w:lastColumn="0" w:noHBand="0" w:noVBand="1"/>
      </w:tblPr>
      <w:tblGrid>
        <w:gridCol w:w="562"/>
        <w:gridCol w:w="4738"/>
        <w:gridCol w:w="1094"/>
        <w:gridCol w:w="2678"/>
      </w:tblGrid>
      <w:tr w:rsidR="00996BB5" w:rsidTr="007E584A">
        <w:trPr>
          <w:cantSplit/>
          <w:tblHeader/>
          <w:jc w:val="center"/>
        </w:trPr>
        <w:tc>
          <w:tcPr>
            <w:tcW w:w="562" w:type="dxa"/>
            <w:tcBorders>
              <w:top w:val="single" w:sz="4" w:space="0" w:color="D9D9D9"/>
              <w:left w:val="single" w:sz="4" w:space="0" w:color="D9D9D9"/>
              <w:bottom w:val="single" w:sz="4" w:space="0" w:color="D9D9D9"/>
              <w:right w:val="single" w:sz="4" w:space="0" w:color="D9D9D9"/>
            </w:tcBorders>
            <w:shd w:val="clear" w:color="auto" w:fill="AA1A5F"/>
            <w:tcMar>
              <w:top w:w="100" w:type="dxa"/>
              <w:left w:w="115" w:type="dxa"/>
              <w:bottom w:w="100" w:type="dxa"/>
              <w:right w:w="115" w:type="dxa"/>
            </w:tcMar>
            <w:vAlign w:val="center"/>
          </w:tcPr>
          <w:p w:rsidR="00996BB5" w:rsidRDefault="00BD13D0">
            <w:pPr>
              <w:pBdr>
                <w:top w:val="nil"/>
                <w:left w:val="nil"/>
                <w:bottom w:val="nil"/>
                <w:right w:val="nil"/>
                <w:between w:val="nil"/>
              </w:pBdr>
              <w:spacing w:after="0" w:line="245" w:lineRule="auto"/>
              <w:jc w:val="center"/>
              <w:rPr>
                <w:color w:val="FFFFFF"/>
                <w:sz w:val="21"/>
                <w:szCs w:val="21"/>
              </w:rPr>
            </w:pPr>
            <w:r>
              <w:rPr>
                <w:rFonts w:ascii="Poppins" w:eastAsia="Poppins" w:hAnsi="Poppins" w:cs="Poppins"/>
                <w:b/>
                <w:bCs/>
                <w:color w:val="FFFFFF"/>
                <w:sz w:val="21"/>
                <w:szCs w:val="21"/>
              </w:rPr>
              <w:t>No.</w:t>
            </w:r>
          </w:p>
        </w:tc>
        <w:tc>
          <w:tcPr>
            <w:tcW w:w="4738" w:type="dxa"/>
            <w:tcBorders>
              <w:top w:val="single" w:sz="4" w:space="0" w:color="D9D9D9"/>
              <w:left w:val="single" w:sz="4" w:space="0" w:color="D9D9D9"/>
              <w:bottom w:val="single" w:sz="4" w:space="0" w:color="D9D9D9"/>
              <w:right w:val="single" w:sz="4" w:space="0" w:color="D9D9D9"/>
            </w:tcBorders>
            <w:shd w:val="clear" w:color="auto" w:fill="AA1A5F"/>
            <w:tcMar>
              <w:top w:w="100" w:type="dxa"/>
              <w:left w:w="115" w:type="dxa"/>
              <w:bottom w:w="100" w:type="dxa"/>
              <w:right w:w="115" w:type="dxa"/>
            </w:tcMar>
            <w:vAlign w:val="center"/>
          </w:tcPr>
          <w:p w:rsidR="00996BB5" w:rsidRDefault="00BD13D0">
            <w:pPr>
              <w:pBdr>
                <w:top w:val="nil"/>
                <w:left w:val="nil"/>
                <w:bottom w:val="nil"/>
                <w:right w:val="nil"/>
                <w:between w:val="nil"/>
              </w:pBdr>
              <w:spacing w:after="0" w:line="245" w:lineRule="auto"/>
              <w:jc w:val="center"/>
              <w:rPr>
                <w:color w:val="FFFFFF"/>
                <w:sz w:val="21"/>
                <w:szCs w:val="21"/>
              </w:rPr>
            </w:pPr>
            <w:r>
              <w:rPr>
                <w:rFonts w:ascii="Poppins" w:eastAsia="Poppins" w:hAnsi="Poppins" w:cs="Poppins"/>
                <w:b/>
                <w:bCs/>
                <w:color w:val="FFFFFF"/>
                <w:sz w:val="21"/>
                <w:szCs w:val="21"/>
              </w:rPr>
              <w:t>Question</w:t>
            </w:r>
          </w:p>
        </w:tc>
        <w:tc>
          <w:tcPr>
            <w:tcW w:w="1094" w:type="dxa"/>
            <w:tcBorders>
              <w:top w:val="single" w:sz="4" w:space="0" w:color="D9D9D9"/>
              <w:left w:val="single" w:sz="4" w:space="0" w:color="D9D9D9"/>
              <w:bottom w:val="single" w:sz="4" w:space="0" w:color="D9D9D9"/>
              <w:right w:val="single" w:sz="4" w:space="0" w:color="D9D9D9"/>
            </w:tcBorders>
            <w:shd w:val="clear" w:color="auto" w:fill="AA1A5F"/>
            <w:tcMar>
              <w:top w:w="100" w:type="dxa"/>
              <w:left w:w="115" w:type="dxa"/>
              <w:bottom w:w="100" w:type="dxa"/>
              <w:right w:w="115" w:type="dxa"/>
            </w:tcMar>
            <w:vAlign w:val="center"/>
          </w:tcPr>
          <w:p w:rsidR="00996BB5" w:rsidRDefault="00BD13D0">
            <w:pPr>
              <w:pBdr>
                <w:top w:val="nil"/>
                <w:left w:val="nil"/>
                <w:bottom w:val="nil"/>
                <w:right w:val="nil"/>
                <w:between w:val="nil"/>
              </w:pBdr>
              <w:spacing w:after="0" w:line="245" w:lineRule="auto"/>
              <w:jc w:val="center"/>
              <w:rPr>
                <w:color w:val="FFFFFF"/>
                <w:sz w:val="21"/>
                <w:szCs w:val="21"/>
              </w:rPr>
            </w:pPr>
            <w:r>
              <w:rPr>
                <w:rFonts w:ascii="Poppins" w:eastAsia="Poppins" w:hAnsi="Poppins" w:cs="Poppins"/>
                <w:b/>
                <w:bCs/>
                <w:color w:val="FFFFFF"/>
                <w:sz w:val="21"/>
                <w:szCs w:val="21"/>
              </w:rPr>
              <w:t>Yes / No</w:t>
            </w:r>
          </w:p>
        </w:tc>
        <w:tc>
          <w:tcPr>
            <w:tcW w:w="2678" w:type="dxa"/>
            <w:tcBorders>
              <w:top w:val="single" w:sz="4" w:space="0" w:color="D9D9D9"/>
              <w:left w:val="single" w:sz="4" w:space="0" w:color="D9D9D9"/>
              <w:bottom w:val="single" w:sz="4" w:space="0" w:color="D9D9D9"/>
              <w:right w:val="single" w:sz="4" w:space="0" w:color="D9D9D9"/>
            </w:tcBorders>
            <w:shd w:val="clear" w:color="auto" w:fill="AA1A5F"/>
            <w:tcMar>
              <w:top w:w="100" w:type="dxa"/>
              <w:left w:w="115" w:type="dxa"/>
              <w:bottom w:w="100" w:type="dxa"/>
              <w:right w:w="115" w:type="dxa"/>
            </w:tcMar>
            <w:vAlign w:val="center"/>
          </w:tcPr>
          <w:p w:rsidR="00996BB5" w:rsidRDefault="00BD13D0">
            <w:pPr>
              <w:pBdr>
                <w:top w:val="nil"/>
                <w:left w:val="nil"/>
                <w:bottom w:val="nil"/>
                <w:right w:val="nil"/>
                <w:between w:val="nil"/>
              </w:pBdr>
              <w:spacing w:after="0" w:line="245" w:lineRule="auto"/>
              <w:jc w:val="center"/>
              <w:rPr>
                <w:color w:val="FFFFFF"/>
                <w:sz w:val="21"/>
                <w:szCs w:val="21"/>
              </w:rPr>
            </w:pPr>
            <w:r>
              <w:rPr>
                <w:rFonts w:ascii="Poppins" w:eastAsia="Poppins" w:hAnsi="Poppins" w:cs="Poppins"/>
                <w:b/>
                <w:bCs/>
                <w:color w:val="FFFFFF"/>
                <w:sz w:val="21"/>
                <w:szCs w:val="21"/>
              </w:rPr>
              <w:t>Comment or attachment</w:t>
            </w:r>
          </w:p>
        </w:tc>
      </w:tr>
      <w:tr w:rsidR="00996BB5" w:rsidTr="007E584A">
        <w:trPr>
          <w:cantSplit/>
          <w:jc w:val="center"/>
        </w:trPr>
        <w:tc>
          <w:tcPr>
            <w:tcW w:w="562"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1</w:t>
            </w:r>
          </w:p>
        </w:tc>
        <w:tc>
          <w:tcPr>
            <w:tcW w:w="4738"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Is your company registered, and has an authorized representative signed this offer?</w:t>
            </w:r>
          </w:p>
        </w:tc>
        <w:tc>
          <w:tcPr>
            <w:tcW w:w="1094"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c>
          <w:tcPr>
            <w:tcW w:w="2678"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r>
      <w:tr w:rsidR="00996BB5" w:rsidTr="007E584A">
        <w:trPr>
          <w:cantSplit/>
          <w:jc w:val="center"/>
        </w:trPr>
        <w:tc>
          <w:tcPr>
            <w:tcW w:w="562"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2</w:t>
            </w:r>
          </w:p>
        </w:tc>
        <w:tc>
          <w:tcPr>
            <w:tcW w:w="4738"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 xml:space="preserve">Will your company follow </w:t>
            </w:r>
            <w:proofErr w:type="gramStart"/>
            <w:r>
              <w:rPr>
                <w:b/>
                <w:bCs/>
                <w:sz w:val="21"/>
                <w:szCs w:val="21"/>
              </w:rPr>
              <w:t>the i</w:t>
            </w:r>
            <w:proofErr w:type="gramEnd"/>
            <w:r>
              <w:rPr>
                <w:b/>
                <w:bCs/>
                <w:sz w:val="21"/>
                <w:szCs w:val="21"/>
              </w:rPr>
              <w:t>-APS tender, conduct, safeguarding and anti-fraud requirements?</w:t>
            </w:r>
          </w:p>
        </w:tc>
        <w:tc>
          <w:tcPr>
            <w:tcW w:w="1094"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c>
          <w:tcPr>
            <w:tcW w:w="2678"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r>
      <w:tr w:rsidR="00996BB5" w:rsidTr="007E584A">
        <w:trPr>
          <w:cantSplit/>
          <w:jc w:val="center"/>
        </w:trPr>
        <w:tc>
          <w:tcPr>
            <w:tcW w:w="562"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3</w:t>
            </w:r>
          </w:p>
        </w:tc>
        <w:tc>
          <w:tcPr>
            <w:tcW w:w="4738"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Do the proposed vehicles have valid registration, appropriate insurance and permission for your company to rent them?</w:t>
            </w:r>
          </w:p>
        </w:tc>
        <w:tc>
          <w:tcPr>
            <w:tcW w:w="1094"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c>
          <w:tcPr>
            <w:tcW w:w="2678"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r>
      <w:tr w:rsidR="00996BB5" w:rsidTr="007E584A">
        <w:trPr>
          <w:cantSplit/>
          <w:jc w:val="center"/>
        </w:trPr>
        <w:tc>
          <w:tcPr>
            <w:tcW w:w="562"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4</w:t>
            </w:r>
          </w:p>
        </w:tc>
        <w:tc>
          <w:tcPr>
            <w:tcW w:w="4738"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 xml:space="preserve">Do the proposed drivers hold current </w:t>
            </w:r>
            <w:proofErr w:type="spellStart"/>
            <w:r>
              <w:rPr>
                <w:b/>
                <w:bCs/>
                <w:sz w:val="21"/>
                <w:szCs w:val="21"/>
              </w:rPr>
              <w:t>licences</w:t>
            </w:r>
            <w:proofErr w:type="spellEnd"/>
            <w:r>
              <w:rPr>
                <w:b/>
                <w:bCs/>
                <w:sz w:val="21"/>
                <w:szCs w:val="21"/>
              </w:rPr>
              <w:t xml:space="preserve"> for their assigned vehicles and meet the experience requirement in Annex A?</w:t>
            </w:r>
          </w:p>
        </w:tc>
        <w:tc>
          <w:tcPr>
            <w:tcW w:w="1094"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c>
          <w:tcPr>
            <w:tcW w:w="2678"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r>
      <w:tr w:rsidR="00996BB5" w:rsidTr="007E584A">
        <w:trPr>
          <w:cantSplit/>
          <w:jc w:val="center"/>
        </w:trPr>
        <w:tc>
          <w:tcPr>
            <w:tcW w:w="562"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5</w:t>
            </w:r>
          </w:p>
        </w:tc>
        <w:tc>
          <w:tcPr>
            <w:tcW w:w="4738"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Can you provide the quoted vehicles with drivers and fuel, maintain them, and arrange a suitable replacement when required?</w:t>
            </w:r>
          </w:p>
        </w:tc>
        <w:tc>
          <w:tcPr>
            <w:tcW w:w="1094"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c>
          <w:tcPr>
            <w:tcW w:w="2678"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r>
      <w:tr w:rsidR="00996BB5" w:rsidTr="007E584A">
        <w:trPr>
          <w:cantSplit/>
          <w:jc w:val="center"/>
        </w:trPr>
        <w:tc>
          <w:tcPr>
            <w:tcW w:w="562"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6</w:t>
            </w:r>
          </w:p>
        </w:tc>
        <w:tc>
          <w:tcPr>
            <w:tcW w:w="4738"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r>
              <w:rPr>
                <w:sz w:val="21"/>
                <w:szCs w:val="21"/>
              </w:rPr>
              <w:t>Have you quoted at least one suitable vehicle category for every internal and external movement line across all 12 states in the RFQ?</w:t>
            </w:r>
          </w:p>
        </w:tc>
        <w:tc>
          <w:tcPr>
            <w:tcW w:w="1094"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c>
          <w:tcPr>
            <w:tcW w:w="2678"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r>
      <w:tr w:rsidR="00996BB5" w:rsidTr="007E584A">
        <w:trPr>
          <w:cantSplit/>
          <w:jc w:val="center"/>
        </w:trPr>
        <w:tc>
          <w:tcPr>
            <w:tcW w:w="562"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7</w:t>
            </w:r>
          </w:p>
        </w:tc>
        <w:tc>
          <w:tcPr>
            <w:tcW w:w="4738"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Have you provided details for two clients that can confirm comparable vehicle rental work?</w:t>
            </w:r>
          </w:p>
        </w:tc>
        <w:tc>
          <w:tcPr>
            <w:tcW w:w="1094"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c>
          <w:tcPr>
            <w:tcW w:w="2678"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r>
    </w:tbl>
    <w:p w:rsidR="00996BB5" w:rsidRDefault="00996BB5"/>
    <w:p w:rsidR="00996BB5" w:rsidRDefault="00996BB5"/>
    <w:p w:rsidR="00996BB5" w:rsidRDefault="00996BB5"/>
    <w:p w:rsidR="00996BB5" w:rsidRDefault="00BD13D0">
      <w:pPr>
        <w:pStyle w:val="Heading2"/>
      </w:pPr>
      <w:r>
        <w:rPr>
          <w:rFonts w:ascii="Poppins" w:eastAsia="Poppins" w:hAnsi="Poppins" w:cs="Poppins"/>
        </w:rPr>
        <w:t>Section 2 – Vehicle Availability and Delivery Plan</w:t>
      </w:r>
    </w:p>
    <w:p w:rsidR="00996BB5" w:rsidRDefault="00BD13D0">
      <w:r>
        <w:t>Show how your company will deliver the services it has priced across all 12 states. Attach a fleet and driver list, vehicle photographs, insurance records and a brief plan for dispatch and replacement.</w:t>
      </w:r>
    </w:p>
    <w:tbl>
      <w:tblPr>
        <w:tblStyle w:val="a4"/>
        <w:tblW w:w="10811" w:type="dxa"/>
        <w:jc w:val="center"/>
        <w:tblLayout w:type="fixed"/>
        <w:tblLook w:val="0400" w:firstRow="0" w:lastRow="0" w:firstColumn="0" w:lastColumn="0" w:noHBand="0" w:noVBand="1"/>
      </w:tblPr>
      <w:tblGrid>
        <w:gridCol w:w="578"/>
        <w:gridCol w:w="6732"/>
        <w:gridCol w:w="3501"/>
      </w:tblGrid>
      <w:tr w:rsidR="00996BB5">
        <w:trPr>
          <w:cantSplit/>
          <w:trHeight w:val="241"/>
          <w:tblHeader/>
          <w:jc w:val="center"/>
        </w:trPr>
        <w:tc>
          <w:tcPr>
            <w:tcW w:w="578" w:type="dxa"/>
            <w:tcBorders>
              <w:top w:val="single" w:sz="4" w:space="0" w:color="D9D9D9"/>
              <w:left w:val="single" w:sz="4" w:space="0" w:color="D9D9D9"/>
              <w:bottom w:val="single" w:sz="4" w:space="0" w:color="D9D9D9"/>
              <w:right w:val="single" w:sz="4" w:space="0" w:color="D9D9D9"/>
            </w:tcBorders>
            <w:shd w:val="clear" w:color="auto" w:fill="AA1A5F"/>
            <w:tcMar>
              <w:top w:w="100" w:type="dxa"/>
              <w:left w:w="115" w:type="dxa"/>
              <w:bottom w:w="100" w:type="dxa"/>
              <w:right w:w="115" w:type="dxa"/>
            </w:tcMar>
            <w:vAlign w:val="center"/>
          </w:tcPr>
          <w:p w:rsidR="00996BB5" w:rsidRDefault="00BD13D0">
            <w:pPr>
              <w:pBdr>
                <w:top w:val="nil"/>
                <w:left w:val="nil"/>
                <w:bottom w:val="nil"/>
                <w:right w:val="nil"/>
                <w:between w:val="nil"/>
              </w:pBdr>
              <w:spacing w:after="0" w:line="245" w:lineRule="auto"/>
              <w:jc w:val="center"/>
              <w:rPr>
                <w:color w:val="FFFFFF"/>
                <w:sz w:val="21"/>
                <w:szCs w:val="21"/>
              </w:rPr>
            </w:pPr>
            <w:r>
              <w:rPr>
                <w:rFonts w:ascii="Poppins" w:eastAsia="Poppins" w:hAnsi="Poppins" w:cs="Poppins"/>
                <w:b/>
                <w:bCs/>
                <w:color w:val="FFFFFF"/>
                <w:sz w:val="21"/>
                <w:szCs w:val="21"/>
              </w:rPr>
              <w:t>No.</w:t>
            </w:r>
          </w:p>
        </w:tc>
        <w:tc>
          <w:tcPr>
            <w:tcW w:w="6732" w:type="dxa"/>
            <w:tcBorders>
              <w:top w:val="single" w:sz="4" w:space="0" w:color="D9D9D9"/>
              <w:left w:val="single" w:sz="4" w:space="0" w:color="D9D9D9"/>
              <w:bottom w:val="single" w:sz="4" w:space="0" w:color="D9D9D9"/>
              <w:right w:val="single" w:sz="4" w:space="0" w:color="D9D9D9"/>
            </w:tcBorders>
            <w:shd w:val="clear" w:color="auto" w:fill="AA1A5F"/>
            <w:tcMar>
              <w:top w:w="100" w:type="dxa"/>
              <w:left w:w="115" w:type="dxa"/>
              <w:bottom w:w="100" w:type="dxa"/>
              <w:right w:w="115" w:type="dxa"/>
            </w:tcMar>
            <w:vAlign w:val="center"/>
          </w:tcPr>
          <w:p w:rsidR="00996BB5" w:rsidRDefault="00BD13D0">
            <w:pPr>
              <w:pBdr>
                <w:top w:val="nil"/>
                <w:left w:val="nil"/>
                <w:bottom w:val="nil"/>
                <w:right w:val="nil"/>
                <w:between w:val="nil"/>
              </w:pBdr>
              <w:spacing w:after="0" w:line="245" w:lineRule="auto"/>
              <w:jc w:val="center"/>
              <w:rPr>
                <w:color w:val="FFFFFF"/>
                <w:sz w:val="21"/>
                <w:szCs w:val="21"/>
              </w:rPr>
            </w:pPr>
            <w:r>
              <w:rPr>
                <w:rFonts w:ascii="Poppins" w:eastAsia="Poppins" w:hAnsi="Poppins" w:cs="Poppins"/>
                <w:b/>
                <w:bCs/>
                <w:color w:val="FFFFFF"/>
                <w:sz w:val="21"/>
                <w:szCs w:val="21"/>
              </w:rPr>
              <w:t>Question</w:t>
            </w:r>
          </w:p>
        </w:tc>
        <w:tc>
          <w:tcPr>
            <w:tcW w:w="3501" w:type="dxa"/>
            <w:tcBorders>
              <w:top w:val="single" w:sz="4" w:space="0" w:color="D9D9D9"/>
              <w:left w:val="single" w:sz="4" w:space="0" w:color="D9D9D9"/>
              <w:bottom w:val="single" w:sz="4" w:space="0" w:color="D9D9D9"/>
              <w:right w:val="single" w:sz="4" w:space="0" w:color="D9D9D9"/>
            </w:tcBorders>
            <w:shd w:val="clear" w:color="auto" w:fill="AA1A5F"/>
            <w:tcMar>
              <w:top w:w="100" w:type="dxa"/>
              <w:left w:w="115" w:type="dxa"/>
              <w:bottom w:w="100" w:type="dxa"/>
              <w:right w:w="115" w:type="dxa"/>
            </w:tcMar>
            <w:vAlign w:val="center"/>
          </w:tcPr>
          <w:p w:rsidR="00996BB5" w:rsidRDefault="00BD13D0">
            <w:pPr>
              <w:pBdr>
                <w:top w:val="nil"/>
                <w:left w:val="nil"/>
                <w:bottom w:val="nil"/>
                <w:right w:val="nil"/>
                <w:between w:val="nil"/>
              </w:pBdr>
              <w:spacing w:after="0" w:line="245" w:lineRule="auto"/>
              <w:jc w:val="center"/>
              <w:rPr>
                <w:color w:val="FFFFFF"/>
                <w:sz w:val="21"/>
                <w:szCs w:val="21"/>
              </w:rPr>
            </w:pPr>
            <w:r>
              <w:rPr>
                <w:rFonts w:ascii="Poppins" w:eastAsia="Poppins" w:hAnsi="Poppins" w:cs="Poppins"/>
                <w:b/>
                <w:bCs/>
                <w:color w:val="FFFFFF"/>
                <w:sz w:val="21"/>
                <w:szCs w:val="21"/>
              </w:rPr>
              <w:t>Company response / attachment</w:t>
            </w:r>
          </w:p>
        </w:tc>
      </w:tr>
      <w:tr w:rsidR="00996BB5">
        <w:trPr>
          <w:cantSplit/>
          <w:trHeight w:val="467"/>
          <w:jc w:val="center"/>
        </w:trPr>
        <w:tc>
          <w:tcPr>
            <w:tcW w:w="578"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1</w:t>
            </w:r>
          </w:p>
        </w:tc>
        <w:tc>
          <w:tcPr>
            <w:tcW w:w="6732"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List the number of vehicles available by category and the state where each group is based.</w:t>
            </w:r>
          </w:p>
        </w:tc>
        <w:tc>
          <w:tcPr>
            <w:tcW w:w="3501"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r>
      <w:tr w:rsidR="00996BB5">
        <w:trPr>
          <w:cantSplit/>
          <w:trHeight w:val="482"/>
          <w:jc w:val="center"/>
        </w:trPr>
        <w:tc>
          <w:tcPr>
            <w:tcW w:w="578"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2</w:t>
            </w:r>
          </w:p>
        </w:tc>
        <w:tc>
          <w:tcPr>
            <w:tcW w:w="6732"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State the notice your company needs to confirm a routine booking and an urgent booking.</w:t>
            </w:r>
          </w:p>
        </w:tc>
        <w:tc>
          <w:tcPr>
            <w:tcW w:w="3501"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r>
      <w:tr w:rsidR="00996BB5">
        <w:trPr>
          <w:cantSplit/>
          <w:trHeight w:val="482"/>
          <w:jc w:val="center"/>
        </w:trPr>
        <w:tc>
          <w:tcPr>
            <w:tcW w:w="578"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3</w:t>
            </w:r>
          </w:p>
        </w:tc>
        <w:tc>
          <w:tcPr>
            <w:tcW w:w="6732"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Describe who will coordinate trips and how you will replace a vehicle or driver that cannot complete an assignment.</w:t>
            </w:r>
          </w:p>
        </w:tc>
        <w:tc>
          <w:tcPr>
            <w:tcW w:w="3501"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r>
      <w:tr w:rsidR="00996BB5">
        <w:trPr>
          <w:cantSplit/>
          <w:trHeight w:val="482"/>
          <w:jc w:val="center"/>
        </w:trPr>
        <w:tc>
          <w:tcPr>
            <w:tcW w:w="578"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4</w:t>
            </w:r>
          </w:p>
        </w:tc>
        <w:tc>
          <w:tcPr>
            <w:tcW w:w="6732"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 xml:space="preserve">Explain how driver </w:t>
            </w:r>
            <w:proofErr w:type="spellStart"/>
            <w:r>
              <w:rPr>
                <w:b/>
                <w:bCs/>
                <w:sz w:val="21"/>
                <w:szCs w:val="21"/>
              </w:rPr>
              <w:t>licences</w:t>
            </w:r>
            <w:proofErr w:type="spellEnd"/>
            <w:r>
              <w:rPr>
                <w:b/>
                <w:bCs/>
                <w:sz w:val="21"/>
                <w:szCs w:val="21"/>
              </w:rPr>
              <w:t>, rest periods, vehicle condition and incident reports are managed.</w:t>
            </w:r>
          </w:p>
        </w:tc>
        <w:tc>
          <w:tcPr>
            <w:tcW w:w="3501"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r>
      <w:tr w:rsidR="00996BB5">
        <w:trPr>
          <w:cantSplit/>
          <w:trHeight w:val="482"/>
          <w:jc w:val="center"/>
        </w:trPr>
        <w:tc>
          <w:tcPr>
            <w:tcW w:w="578"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5</w:t>
            </w:r>
          </w:p>
        </w:tc>
        <w:tc>
          <w:tcPr>
            <w:tcW w:w="6732"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Summarize similar assignments completed during the last three years, including where the services were delivered.</w:t>
            </w:r>
          </w:p>
        </w:tc>
        <w:tc>
          <w:tcPr>
            <w:tcW w:w="3501"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r>
      <w:tr w:rsidR="00996BB5">
        <w:trPr>
          <w:cantSplit/>
          <w:trHeight w:val="467"/>
          <w:jc w:val="center"/>
        </w:trPr>
        <w:tc>
          <w:tcPr>
            <w:tcW w:w="578"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6</w:t>
            </w:r>
          </w:p>
        </w:tc>
        <w:tc>
          <w:tcPr>
            <w:tcW w:w="6732"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Describe your local staffing and practical steps to control fuel use, waste and vehicle maintenance risks.</w:t>
            </w:r>
          </w:p>
        </w:tc>
        <w:tc>
          <w:tcPr>
            <w:tcW w:w="3501"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r>
    </w:tbl>
    <w:p w:rsidR="00996BB5" w:rsidRDefault="00BD13D0">
      <w:pPr>
        <w:pStyle w:val="Heading2"/>
      </w:pPr>
      <w:r>
        <w:rPr>
          <w:rFonts w:ascii="Poppins" w:eastAsia="Poppins" w:hAnsi="Poppins" w:cs="Poppins"/>
        </w:rPr>
        <w:t>Client references</w:t>
      </w:r>
    </w:p>
    <w:p w:rsidR="00996BB5" w:rsidRDefault="00BD13D0">
      <w:r>
        <w:t xml:space="preserve">Name two recent organizations that received comparable services from your company. NGO or UN clients may be included where available. </w:t>
      </w:r>
      <w:proofErr w:type="gramStart"/>
      <w:r>
        <w:t>i-APS</w:t>
      </w:r>
      <w:proofErr w:type="gramEnd"/>
      <w:r>
        <w:t xml:space="preserve"> may contact them to confirm the work.</w:t>
      </w:r>
    </w:p>
    <w:tbl>
      <w:tblPr>
        <w:tblStyle w:val="a5"/>
        <w:tblW w:w="11264" w:type="dxa"/>
        <w:jc w:val="center"/>
        <w:tblLayout w:type="fixed"/>
        <w:tblLook w:val="0400" w:firstRow="0" w:lastRow="0" w:firstColumn="0" w:lastColumn="0" w:noHBand="0" w:noVBand="1"/>
      </w:tblPr>
      <w:tblGrid>
        <w:gridCol w:w="715"/>
        <w:gridCol w:w="3367"/>
        <w:gridCol w:w="7182"/>
      </w:tblGrid>
      <w:tr w:rsidR="00996BB5">
        <w:trPr>
          <w:cantSplit/>
          <w:trHeight w:val="289"/>
          <w:tblHeader/>
          <w:jc w:val="center"/>
        </w:trPr>
        <w:tc>
          <w:tcPr>
            <w:tcW w:w="715" w:type="dxa"/>
            <w:tcBorders>
              <w:top w:val="single" w:sz="4" w:space="0" w:color="D9D9D9"/>
              <w:left w:val="single" w:sz="4" w:space="0" w:color="D9D9D9"/>
              <w:bottom w:val="single" w:sz="4" w:space="0" w:color="D9D9D9"/>
              <w:right w:val="single" w:sz="4" w:space="0" w:color="D9D9D9"/>
            </w:tcBorders>
            <w:shd w:val="clear" w:color="auto" w:fill="AA1A5F"/>
            <w:tcMar>
              <w:top w:w="100" w:type="dxa"/>
              <w:left w:w="115" w:type="dxa"/>
              <w:bottom w:w="100" w:type="dxa"/>
              <w:right w:w="115" w:type="dxa"/>
            </w:tcMar>
            <w:vAlign w:val="center"/>
          </w:tcPr>
          <w:p w:rsidR="00996BB5" w:rsidRDefault="00BD13D0">
            <w:pPr>
              <w:pBdr>
                <w:top w:val="nil"/>
                <w:left w:val="nil"/>
                <w:bottom w:val="nil"/>
                <w:right w:val="nil"/>
                <w:between w:val="nil"/>
              </w:pBdr>
              <w:spacing w:after="0" w:line="245" w:lineRule="auto"/>
              <w:jc w:val="center"/>
              <w:rPr>
                <w:color w:val="FFFFFF"/>
                <w:sz w:val="21"/>
                <w:szCs w:val="21"/>
              </w:rPr>
            </w:pPr>
            <w:r>
              <w:rPr>
                <w:rFonts w:ascii="Poppins" w:eastAsia="Poppins" w:hAnsi="Poppins" w:cs="Poppins"/>
                <w:b/>
                <w:bCs/>
                <w:color w:val="FFFFFF"/>
                <w:sz w:val="21"/>
                <w:szCs w:val="21"/>
              </w:rPr>
              <w:t>No.</w:t>
            </w:r>
          </w:p>
        </w:tc>
        <w:tc>
          <w:tcPr>
            <w:tcW w:w="3367" w:type="dxa"/>
            <w:tcBorders>
              <w:top w:val="single" w:sz="4" w:space="0" w:color="D9D9D9"/>
              <w:left w:val="single" w:sz="4" w:space="0" w:color="D9D9D9"/>
              <w:bottom w:val="single" w:sz="4" w:space="0" w:color="D9D9D9"/>
              <w:right w:val="single" w:sz="4" w:space="0" w:color="D9D9D9"/>
            </w:tcBorders>
            <w:shd w:val="clear" w:color="auto" w:fill="AA1A5F"/>
            <w:tcMar>
              <w:top w:w="100" w:type="dxa"/>
              <w:left w:w="115" w:type="dxa"/>
              <w:bottom w:w="100" w:type="dxa"/>
              <w:right w:w="115" w:type="dxa"/>
            </w:tcMar>
            <w:vAlign w:val="center"/>
          </w:tcPr>
          <w:p w:rsidR="00996BB5" w:rsidRDefault="00BD13D0">
            <w:pPr>
              <w:pBdr>
                <w:top w:val="nil"/>
                <w:left w:val="nil"/>
                <w:bottom w:val="nil"/>
                <w:right w:val="nil"/>
                <w:between w:val="nil"/>
              </w:pBdr>
              <w:spacing w:after="0" w:line="245" w:lineRule="auto"/>
              <w:jc w:val="center"/>
              <w:rPr>
                <w:color w:val="FFFFFF"/>
                <w:sz w:val="21"/>
                <w:szCs w:val="21"/>
              </w:rPr>
            </w:pPr>
            <w:r>
              <w:rPr>
                <w:rFonts w:ascii="Poppins" w:eastAsia="Poppins" w:hAnsi="Poppins" w:cs="Poppins"/>
                <w:b/>
                <w:bCs/>
                <w:color w:val="FFFFFF"/>
                <w:sz w:val="21"/>
                <w:szCs w:val="21"/>
              </w:rPr>
              <w:t>Client organization / service and dates</w:t>
            </w:r>
          </w:p>
        </w:tc>
        <w:tc>
          <w:tcPr>
            <w:tcW w:w="7182" w:type="dxa"/>
            <w:tcBorders>
              <w:top w:val="single" w:sz="4" w:space="0" w:color="D9D9D9"/>
              <w:left w:val="single" w:sz="4" w:space="0" w:color="D9D9D9"/>
              <w:bottom w:val="single" w:sz="4" w:space="0" w:color="D9D9D9"/>
              <w:right w:val="single" w:sz="4" w:space="0" w:color="D9D9D9"/>
            </w:tcBorders>
            <w:shd w:val="clear" w:color="auto" w:fill="AA1A5F"/>
            <w:tcMar>
              <w:top w:w="100" w:type="dxa"/>
              <w:left w:w="115" w:type="dxa"/>
              <w:bottom w:w="100" w:type="dxa"/>
              <w:right w:w="115" w:type="dxa"/>
            </w:tcMar>
            <w:vAlign w:val="center"/>
          </w:tcPr>
          <w:p w:rsidR="00996BB5" w:rsidRDefault="00BD13D0">
            <w:pPr>
              <w:pBdr>
                <w:top w:val="nil"/>
                <w:left w:val="nil"/>
                <w:bottom w:val="nil"/>
                <w:right w:val="nil"/>
                <w:between w:val="nil"/>
              </w:pBdr>
              <w:spacing w:after="0" w:line="245" w:lineRule="auto"/>
              <w:jc w:val="center"/>
              <w:rPr>
                <w:color w:val="FFFFFF"/>
                <w:sz w:val="21"/>
                <w:szCs w:val="21"/>
              </w:rPr>
            </w:pPr>
            <w:r>
              <w:rPr>
                <w:rFonts w:ascii="Poppins" w:eastAsia="Poppins" w:hAnsi="Poppins" w:cs="Poppins"/>
                <w:b/>
                <w:bCs/>
                <w:color w:val="FFFFFF"/>
                <w:sz w:val="21"/>
                <w:szCs w:val="21"/>
              </w:rPr>
              <w:t>Contact name, role, phone and email</w:t>
            </w:r>
          </w:p>
        </w:tc>
      </w:tr>
      <w:tr w:rsidR="00996BB5">
        <w:trPr>
          <w:cantSplit/>
          <w:trHeight w:val="308"/>
          <w:jc w:val="center"/>
        </w:trPr>
        <w:tc>
          <w:tcPr>
            <w:tcW w:w="715"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1</w:t>
            </w:r>
          </w:p>
        </w:tc>
        <w:tc>
          <w:tcPr>
            <w:tcW w:w="3367"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c>
          <w:tcPr>
            <w:tcW w:w="7182"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r>
      <w:tr w:rsidR="00996BB5">
        <w:trPr>
          <w:cantSplit/>
          <w:trHeight w:val="308"/>
          <w:jc w:val="center"/>
        </w:trPr>
        <w:tc>
          <w:tcPr>
            <w:tcW w:w="715"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2</w:t>
            </w:r>
          </w:p>
        </w:tc>
        <w:tc>
          <w:tcPr>
            <w:tcW w:w="3367"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c>
          <w:tcPr>
            <w:tcW w:w="7182"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r>
    </w:tbl>
    <w:p w:rsidR="00996BB5" w:rsidRDefault="00996BB5">
      <w:pPr>
        <w:pStyle w:val="Heading2"/>
        <w:rPr>
          <w:rFonts w:ascii="Poppins" w:eastAsia="Poppins" w:hAnsi="Poppins" w:cs="Poppins"/>
        </w:rPr>
      </w:pPr>
    </w:p>
    <w:p w:rsidR="00996BB5" w:rsidRDefault="00996BB5">
      <w:pPr>
        <w:pStyle w:val="Heading2"/>
        <w:rPr>
          <w:rFonts w:ascii="Poppins" w:eastAsia="Poppins" w:hAnsi="Poppins" w:cs="Poppins"/>
        </w:rPr>
      </w:pPr>
    </w:p>
    <w:p w:rsidR="00996BB5" w:rsidRDefault="00996BB5">
      <w:pPr>
        <w:pStyle w:val="Heading2"/>
        <w:rPr>
          <w:rFonts w:ascii="Poppins" w:eastAsia="Poppins" w:hAnsi="Poppins" w:cs="Poppins"/>
        </w:rPr>
      </w:pPr>
    </w:p>
    <w:p w:rsidR="00996BB5" w:rsidRDefault="00996BB5">
      <w:pPr>
        <w:pStyle w:val="Heading2"/>
        <w:rPr>
          <w:rFonts w:ascii="Poppins" w:eastAsia="Poppins" w:hAnsi="Poppins" w:cs="Poppins"/>
        </w:rPr>
      </w:pPr>
    </w:p>
    <w:p w:rsidR="00996BB5" w:rsidRDefault="00996BB5">
      <w:pPr>
        <w:pStyle w:val="Heading2"/>
        <w:rPr>
          <w:rFonts w:ascii="Poppins" w:eastAsia="Poppins" w:hAnsi="Poppins" w:cs="Poppins"/>
        </w:rPr>
      </w:pPr>
    </w:p>
    <w:p w:rsidR="00996BB5" w:rsidRDefault="00996BB5">
      <w:pPr>
        <w:pStyle w:val="Heading2"/>
        <w:rPr>
          <w:rFonts w:ascii="Poppins" w:eastAsia="Poppins" w:hAnsi="Poppins" w:cs="Poppins"/>
        </w:rPr>
      </w:pPr>
    </w:p>
    <w:p w:rsidR="00996BB5" w:rsidRDefault="00BD13D0">
      <w:pPr>
        <w:pStyle w:val="Heading2"/>
        <w:tabs>
          <w:tab w:val="left" w:pos="3554"/>
        </w:tabs>
        <w:rPr>
          <w:rFonts w:ascii="Poppins" w:eastAsia="Poppins" w:hAnsi="Poppins" w:cs="Poppins"/>
        </w:rPr>
      </w:pPr>
      <w:r>
        <w:rPr>
          <w:rFonts w:ascii="Poppins" w:eastAsia="Poppins" w:hAnsi="Poppins" w:cs="Poppins"/>
        </w:rPr>
        <w:tab/>
      </w:r>
    </w:p>
    <w:p w:rsidR="00996BB5" w:rsidRDefault="00996BB5"/>
    <w:p w:rsidR="00996BB5" w:rsidRDefault="00996BB5"/>
    <w:p w:rsidR="00996BB5" w:rsidRDefault="00996BB5">
      <w:pPr>
        <w:pStyle w:val="Heading2"/>
        <w:rPr>
          <w:rFonts w:ascii="Poppins" w:eastAsia="Poppins" w:hAnsi="Poppins" w:cs="Poppins"/>
        </w:rPr>
      </w:pPr>
    </w:p>
    <w:p w:rsidR="00996BB5" w:rsidRDefault="00996BB5">
      <w:pPr>
        <w:pStyle w:val="Heading2"/>
        <w:rPr>
          <w:rFonts w:ascii="Poppins" w:eastAsia="Poppins" w:hAnsi="Poppins" w:cs="Poppins"/>
        </w:rPr>
      </w:pPr>
    </w:p>
    <w:p w:rsidR="00996BB5" w:rsidRDefault="00BD13D0">
      <w:pPr>
        <w:pStyle w:val="Heading2"/>
      </w:pPr>
      <w:r>
        <w:rPr>
          <w:rFonts w:ascii="Poppins" w:eastAsia="Poppins" w:hAnsi="Poppins" w:cs="Poppins"/>
        </w:rPr>
        <w:t>Section 3 – RFQ and Rate Confirmations</w:t>
      </w:r>
    </w:p>
    <w:p w:rsidR="00996BB5" w:rsidRDefault="00BD13D0">
      <w:r>
        <w:t>Use the RFQ in Excel or PDF format, or both, for every price. Answer the confirmations below so i-APS can understand what your rates cover. Do not repeat the rate schedule in this Word document.</w:t>
      </w:r>
    </w:p>
    <w:tbl>
      <w:tblPr>
        <w:tblStyle w:val="a6"/>
        <w:tblW w:w="10065" w:type="dxa"/>
        <w:tblInd w:w="-115" w:type="dxa"/>
        <w:tblLayout w:type="fixed"/>
        <w:tblLook w:val="0400" w:firstRow="0" w:lastRow="0" w:firstColumn="0" w:lastColumn="0" w:noHBand="0" w:noVBand="1"/>
      </w:tblPr>
      <w:tblGrid>
        <w:gridCol w:w="540"/>
        <w:gridCol w:w="5450"/>
        <w:gridCol w:w="987"/>
        <w:gridCol w:w="3088"/>
      </w:tblGrid>
      <w:tr w:rsidR="00996BB5">
        <w:trPr>
          <w:cantSplit/>
          <w:tblHeader/>
        </w:trPr>
        <w:tc>
          <w:tcPr>
            <w:tcW w:w="540" w:type="dxa"/>
            <w:tcBorders>
              <w:top w:val="single" w:sz="4" w:space="0" w:color="D9D9D9"/>
              <w:left w:val="single" w:sz="4" w:space="0" w:color="D9D9D9"/>
              <w:bottom w:val="single" w:sz="4" w:space="0" w:color="D9D9D9"/>
              <w:right w:val="single" w:sz="4" w:space="0" w:color="D9D9D9"/>
            </w:tcBorders>
            <w:shd w:val="clear" w:color="auto" w:fill="AA1A5F"/>
            <w:tcMar>
              <w:top w:w="100" w:type="dxa"/>
              <w:left w:w="115" w:type="dxa"/>
              <w:bottom w:w="100" w:type="dxa"/>
              <w:right w:w="115" w:type="dxa"/>
            </w:tcMar>
            <w:vAlign w:val="center"/>
          </w:tcPr>
          <w:p w:rsidR="00996BB5" w:rsidRDefault="00BD13D0">
            <w:pPr>
              <w:pBdr>
                <w:top w:val="nil"/>
                <w:left w:val="nil"/>
                <w:bottom w:val="nil"/>
                <w:right w:val="nil"/>
                <w:between w:val="nil"/>
              </w:pBdr>
              <w:spacing w:after="0" w:line="245" w:lineRule="auto"/>
              <w:jc w:val="center"/>
              <w:rPr>
                <w:color w:val="FFFFFF"/>
                <w:sz w:val="21"/>
                <w:szCs w:val="21"/>
              </w:rPr>
            </w:pPr>
            <w:r>
              <w:rPr>
                <w:rFonts w:ascii="Poppins" w:eastAsia="Poppins" w:hAnsi="Poppins" w:cs="Poppins"/>
                <w:b/>
                <w:bCs/>
                <w:color w:val="FFFFFF"/>
                <w:sz w:val="21"/>
                <w:szCs w:val="21"/>
              </w:rPr>
              <w:t>No.</w:t>
            </w:r>
          </w:p>
        </w:tc>
        <w:tc>
          <w:tcPr>
            <w:tcW w:w="5450" w:type="dxa"/>
            <w:tcBorders>
              <w:top w:val="single" w:sz="4" w:space="0" w:color="D9D9D9"/>
              <w:left w:val="single" w:sz="4" w:space="0" w:color="D9D9D9"/>
              <w:bottom w:val="single" w:sz="4" w:space="0" w:color="D9D9D9"/>
              <w:right w:val="single" w:sz="4" w:space="0" w:color="D9D9D9"/>
            </w:tcBorders>
            <w:shd w:val="clear" w:color="auto" w:fill="AA1A5F"/>
            <w:tcMar>
              <w:top w:w="100" w:type="dxa"/>
              <w:left w:w="115" w:type="dxa"/>
              <w:bottom w:w="100" w:type="dxa"/>
              <w:right w:w="115" w:type="dxa"/>
            </w:tcMar>
            <w:vAlign w:val="center"/>
          </w:tcPr>
          <w:p w:rsidR="00996BB5" w:rsidRDefault="00BD13D0">
            <w:pPr>
              <w:pBdr>
                <w:top w:val="nil"/>
                <w:left w:val="nil"/>
                <w:bottom w:val="nil"/>
                <w:right w:val="nil"/>
                <w:between w:val="nil"/>
              </w:pBdr>
              <w:spacing w:after="0" w:line="245" w:lineRule="auto"/>
              <w:jc w:val="center"/>
              <w:rPr>
                <w:color w:val="FFFFFF"/>
                <w:sz w:val="21"/>
                <w:szCs w:val="21"/>
              </w:rPr>
            </w:pPr>
            <w:r>
              <w:rPr>
                <w:rFonts w:ascii="Poppins" w:eastAsia="Poppins" w:hAnsi="Poppins" w:cs="Poppins"/>
                <w:b/>
                <w:bCs/>
                <w:color w:val="FFFFFF"/>
                <w:sz w:val="21"/>
                <w:szCs w:val="21"/>
              </w:rPr>
              <w:t>Question</w:t>
            </w:r>
          </w:p>
        </w:tc>
        <w:tc>
          <w:tcPr>
            <w:tcW w:w="987" w:type="dxa"/>
            <w:tcBorders>
              <w:top w:val="single" w:sz="4" w:space="0" w:color="D9D9D9"/>
              <w:left w:val="single" w:sz="4" w:space="0" w:color="D9D9D9"/>
              <w:bottom w:val="single" w:sz="4" w:space="0" w:color="D9D9D9"/>
              <w:right w:val="single" w:sz="4" w:space="0" w:color="D9D9D9"/>
            </w:tcBorders>
            <w:shd w:val="clear" w:color="auto" w:fill="AA1A5F"/>
            <w:tcMar>
              <w:top w:w="100" w:type="dxa"/>
              <w:left w:w="115" w:type="dxa"/>
              <w:bottom w:w="100" w:type="dxa"/>
              <w:right w:w="115" w:type="dxa"/>
            </w:tcMar>
            <w:vAlign w:val="center"/>
          </w:tcPr>
          <w:p w:rsidR="00996BB5" w:rsidRDefault="00BD13D0">
            <w:pPr>
              <w:pBdr>
                <w:top w:val="nil"/>
                <w:left w:val="nil"/>
                <w:bottom w:val="nil"/>
                <w:right w:val="nil"/>
                <w:between w:val="nil"/>
              </w:pBdr>
              <w:spacing w:after="0" w:line="245" w:lineRule="auto"/>
              <w:jc w:val="center"/>
              <w:rPr>
                <w:color w:val="FFFFFF"/>
                <w:sz w:val="21"/>
                <w:szCs w:val="21"/>
              </w:rPr>
            </w:pPr>
            <w:r>
              <w:rPr>
                <w:rFonts w:ascii="Poppins" w:eastAsia="Poppins" w:hAnsi="Poppins" w:cs="Poppins"/>
                <w:b/>
                <w:bCs/>
                <w:color w:val="FFFFFF"/>
                <w:sz w:val="21"/>
                <w:szCs w:val="21"/>
              </w:rPr>
              <w:t>Yes / No</w:t>
            </w:r>
          </w:p>
        </w:tc>
        <w:tc>
          <w:tcPr>
            <w:tcW w:w="3088" w:type="dxa"/>
            <w:tcBorders>
              <w:top w:val="single" w:sz="4" w:space="0" w:color="D9D9D9"/>
              <w:left w:val="single" w:sz="4" w:space="0" w:color="D9D9D9"/>
              <w:bottom w:val="single" w:sz="4" w:space="0" w:color="D9D9D9"/>
              <w:right w:val="single" w:sz="4" w:space="0" w:color="D9D9D9"/>
            </w:tcBorders>
            <w:shd w:val="clear" w:color="auto" w:fill="AA1A5F"/>
            <w:tcMar>
              <w:top w:w="100" w:type="dxa"/>
              <w:left w:w="115" w:type="dxa"/>
              <w:bottom w:w="100" w:type="dxa"/>
              <w:right w:w="115" w:type="dxa"/>
            </w:tcMar>
            <w:vAlign w:val="center"/>
          </w:tcPr>
          <w:p w:rsidR="00996BB5" w:rsidRDefault="00BD13D0">
            <w:pPr>
              <w:pBdr>
                <w:top w:val="nil"/>
                <w:left w:val="nil"/>
                <w:bottom w:val="nil"/>
                <w:right w:val="nil"/>
                <w:between w:val="nil"/>
              </w:pBdr>
              <w:spacing w:after="0" w:line="245" w:lineRule="auto"/>
              <w:jc w:val="center"/>
              <w:rPr>
                <w:color w:val="FFFFFF"/>
                <w:sz w:val="21"/>
                <w:szCs w:val="21"/>
              </w:rPr>
            </w:pPr>
            <w:r>
              <w:rPr>
                <w:rFonts w:ascii="Poppins" w:eastAsia="Poppins" w:hAnsi="Poppins" w:cs="Poppins"/>
                <w:b/>
                <w:bCs/>
                <w:color w:val="FFFFFF"/>
                <w:sz w:val="21"/>
                <w:szCs w:val="21"/>
              </w:rPr>
              <w:t>Comment or exception</w:t>
            </w:r>
          </w:p>
        </w:tc>
      </w:tr>
      <w:tr w:rsidR="00996BB5">
        <w:trPr>
          <w:cantSplit/>
        </w:trPr>
        <w:tc>
          <w:tcPr>
            <w:tcW w:w="540"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1</w:t>
            </w:r>
          </w:p>
        </w:tc>
        <w:tc>
          <w:tcPr>
            <w:tcW w:w="5450"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r>
              <w:rPr>
                <w:sz w:val="21"/>
                <w:szCs w:val="21"/>
              </w:rPr>
              <w:t>Have you entered a USD daily rate for at least one suitable vehicle category on every listed state and movement line, plus other categories you can supply?</w:t>
            </w:r>
          </w:p>
        </w:tc>
        <w:tc>
          <w:tcPr>
            <w:tcW w:w="987"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c>
          <w:tcPr>
            <w:tcW w:w="3088"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r>
      <w:tr w:rsidR="00996BB5">
        <w:trPr>
          <w:cantSplit/>
        </w:trPr>
        <w:tc>
          <w:tcPr>
            <w:tcW w:w="540"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2</w:t>
            </w:r>
          </w:p>
        </w:tc>
        <w:tc>
          <w:tcPr>
            <w:tcW w:w="5450"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Does each rate cover the driver, fuel, insurance, maintenance and other costs listed in Annex B?</w:t>
            </w:r>
          </w:p>
        </w:tc>
        <w:tc>
          <w:tcPr>
            <w:tcW w:w="987"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c>
          <w:tcPr>
            <w:tcW w:w="3088"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r>
      <w:tr w:rsidR="00996BB5">
        <w:trPr>
          <w:cantSplit/>
        </w:trPr>
        <w:tc>
          <w:tcPr>
            <w:tcW w:w="540"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3</w:t>
            </w:r>
          </w:p>
        </w:tc>
        <w:tc>
          <w:tcPr>
            <w:tcW w:w="5450"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Do you confirm that your daily rates cover extended hours, overnight fieldwork and overnight stays, that services are not limited to an 8-hour day, and that payment is per vehicle per authorized and accepted day only, with no hourly, overtime, night-work or other working-hours surcharge?</w:t>
            </w:r>
          </w:p>
        </w:tc>
        <w:tc>
          <w:tcPr>
            <w:tcW w:w="987"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c>
          <w:tcPr>
            <w:tcW w:w="3088"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r>
      <w:tr w:rsidR="00996BB5">
        <w:trPr>
          <w:cantSplit/>
        </w:trPr>
        <w:tc>
          <w:tcPr>
            <w:tcW w:w="540"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4</w:t>
            </w:r>
          </w:p>
        </w:tc>
        <w:tc>
          <w:tcPr>
            <w:tcW w:w="5450"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Will the quoted offer remain open for 45 calendar days after the deadline?</w:t>
            </w:r>
          </w:p>
        </w:tc>
        <w:tc>
          <w:tcPr>
            <w:tcW w:w="987"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c>
          <w:tcPr>
            <w:tcW w:w="3088"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r>
      <w:tr w:rsidR="00996BB5">
        <w:trPr>
          <w:cantSplit/>
        </w:trPr>
        <w:tc>
          <w:tcPr>
            <w:tcW w:w="540"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5</w:t>
            </w:r>
          </w:p>
        </w:tc>
        <w:tc>
          <w:tcPr>
            <w:tcW w:w="5450"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 xml:space="preserve">Can your </w:t>
            </w:r>
            <w:r w:rsidR="007E584A">
              <w:rPr>
                <w:b/>
                <w:bCs/>
                <w:sz w:val="21"/>
                <w:szCs w:val="21"/>
              </w:rPr>
              <w:t>company accept payment within 30</w:t>
            </w:r>
            <w:r>
              <w:rPr>
                <w:b/>
                <w:bCs/>
                <w:sz w:val="21"/>
                <w:szCs w:val="21"/>
              </w:rPr>
              <w:t xml:space="preserve"> days after i-APS accepts a complete claim for completed service, subject to the signed agreement?</w:t>
            </w:r>
          </w:p>
        </w:tc>
        <w:tc>
          <w:tcPr>
            <w:tcW w:w="987"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c>
          <w:tcPr>
            <w:tcW w:w="3088"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r>
      <w:tr w:rsidR="00996BB5">
        <w:trPr>
          <w:cantSplit/>
        </w:trPr>
        <w:tc>
          <w:tcPr>
            <w:tcW w:w="540"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6</w:t>
            </w:r>
          </w:p>
        </w:tc>
        <w:tc>
          <w:tcPr>
            <w:tcW w:w="5450"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Have you stated any service exclusions or assumptions? If none, write “None” in the comment field.</w:t>
            </w:r>
          </w:p>
        </w:tc>
        <w:tc>
          <w:tcPr>
            <w:tcW w:w="987"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c>
          <w:tcPr>
            <w:tcW w:w="3088"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r>
      <w:tr w:rsidR="00996BB5">
        <w:trPr>
          <w:cantSplit/>
        </w:trPr>
        <w:tc>
          <w:tcPr>
            <w:tcW w:w="540"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7</w:t>
            </w:r>
          </w:p>
        </w:tc>
        <w:tc>
          <w:tcPr>
            <w:tcW w:w="5450"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Do you confirm that every rate in the RFQ will remain fixed for the full 12-month framework agreement, without escalation or additional charges?</w:t>
            </w:r>
          </w:p>
        </w:tc>
        <w:tc>
          <w:tcPr>
            <w:tcW w:w="987"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c>
          <w:tcPr>
            <w:tcW w:w="3088"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r>
    </w:tbl>
    <w:p w:rsidR="00996BB5" w:rsidRDefault="00BD13D0">
      <w:pPr>
        <w:pStyle w:val="Heading2"/>
      </w:pPr>
      <w:r>
        <w:rPr>
          <w:rFonts w:ascii="Poppins" w:eastAsia="Poppins" w:hAnsi="Poppins" w:cs="Poppins"/>
        </w:rPr>
        <w:t>Section 4 – Documents Supplied and Declaration</w:t>
      </w:r>
    </w:p>
    <w:p w:rsidR="00996BB5" w:rsidRDefault="00BD13D0" w:rsidP="007E584A">
      <w:r>
        <w:t xml:space="preserve">Tick the documents sent with your offer. An authorized company representative should complete the signature fields below. The bidder’s </w:t>
      </w:r>
      <w:proofErr w:type="spellStart"/>
      <w:r>
        <w:t>authorised</w:t>
      </w:r>
      <w:proofErr w:type="spellEnd"/>
      <w:r>
        <w:t xml:space="preserve"> representative must sign and submit the acknowledgement page of the attached i-APS Code of Conduct with the technical offer. </w:t>
      </w:r>
    </w:p>
    <w:tbl>
      <w:tblPr>
        <w:tblStyle w:val="a7"/>
        <w:tblW w:w="10065" w:type="dxa"/>
        <w:jc w:val="center"/>
        <w:tblLayout w:type="fixed"/>
        <w:tblLook w:val="0400" w:firstRow="0" w:lastRow="0" w:firstColumn="0" w:lastColumn="0" w:noHBand="0" w:noVBand="1"/>
      </w:tblPr>
      <w:tblGrid>
        <w:gridCol w:w="3666"/>
        <w:gridCol w:w="6399"/>
      </w:tblGrid>
      <w:tr w:rsidR="00996BB5">
        <w:trPr>
          <w:cantSplit/>
          <w:tblHeader/>
          <w:jc w:val="center"/>
        </w:trPr>
        <w:tc>
          <w:tcPr>
            <w:tcW w:w="3666" w:type="dxa"/>
            <w:tcBorders>
              <w:top w:val="single" w:sz="4" w:space="0" w:color="D9D9D9"/>
              <w:left w:val="single" w:sz="4" w:space="0" w:color="D9D9D9"/>
              <w:bottom w:val="single" w:sz="4" w:space="0" w:color="D9D9D9"/>
              <w:right w:val="single" w:sz="4" w:space="0" w:color="D9D9D9"/>
            </w:tcBorders>
            <w:shd w:val="clear" w:color="auto" w:fill="AA1A5F"/>
            <w:tcMar>
              <w:top w:w="100" w:type="dxa"/>
              <w:left w:w="115" w:type="dxa"/>
              <w:bottom w:w="100" w:type="dxa"/>
              <w:right w:w="115" w:type="dxa"/>
            </w:tcMar>
            <w:vAlign w:val="center"/>
          </w:tcPr>
          <w:p w:rsidR="00996BB5" w:rsidRDefault="00BD13D0">
            <w:pPr>
              <w:pBdr>
                <w:top w:val="nil"/>
                <w:left w:val="nil"/>
                <w:bottom w:val="nil"/>
                <w:right w:val="nil"/>
                <w:between w:val="nil"/>
              </w:pBdr>
              <w:spacing w:after="0" w:line="245" w:lineRule="auto"/>
              <w:jc w:val="center"/>
              <w:rPr>
                <w:color w:val="FFFFFF"/>
                <w:sz w:val="21"/>
                <w:szCs w:val="21"/>
              </w:rPr>
            </w:pPr>
            <w:r>
              <w:rPr>
                <w:rFonts w:ascii="Poppins" w:eastAsia="Poppins" w:hAnsi="Poppins" w:cs="Poppins"/>
                <w:b/>
                <w:bCs/>
                <w:color w:val="FFFFFF"/>
                <w:sz w:val="21"/>
                <w:szCs w:val="21"/>
              </w:rPr>
              <w:t>Included</w:t>
            </w:r>
          </w:p>
        </w:tc>
        <w:tc>
          <w:tcPr>
            <w:tcW w:w="6399" w:type="dxa"/>
            <w:tcBorders>
              <w:top w:val="single" w:sz="4" w:space="0" w:color="D9D9D9"/>
              <w:left w:val="single" w:sz="4" w:space="0" w:color="D9D9D9"/>
              <w:bottom w:val="single" w:sz="4" w:space="0" w:color="D9D9D9"/>
              <w:right w:val="single" w:sz="4" w:space="0" w:color="D9D9D9"/>
            </w:tcBorders>
            <w:shd w:val="clear" w:color="auto" w:fill="AA1A5F"/>
            <w:tcMar>
              <w:top w:w="100" w:type="dxa"/>
              <w:left w:w="115" w:type="dxa"/>
              <w:bottom w:w="100" w:type="dxa"/>
              <w:right w:w="115" w:type="dxa"/>
            </w:tcMar>
            <w:vAlign w:val="center"/>
          </w:tcPr>
          <w:p w:rsidR="00996BB5" w:rsidRDefault="00BD13D0">
            <w:pPr>
              <w:pBdr>
                <w:top w:val="nil"/>
                <w:left w:val="nil"/>
                <w:bottom w:val="nil"/>
                <w:right w:val="nil"/>
                <w:between w:val="nil"/>
              </w:pBdr>
              <w:spacing w:after="0" w:line="245" w:lineRule="auto"/>
              <w:jc w:val="center"/>
              <w:rPr>
                <w:color w:val="FFFFFF"/>
                <w:sz w:val="21"/>
                <w:szCs w:val="21"/>
              </w:rPr>
            </w:pPr>
            <w:r>
              <w:rPr>
                <w:rFonts w:ascii="Poppins" w:eastAsia="Poppins" w:hAnsi="Poppins" w:cs="Poppins"/>
                <w:b/>
                <w:bCs/>
                <w:color w:val="FFFFFF"/>
                <w:sz w:val="21"/>
                <w:szCs w:val="21"/>
              </w:rPr>
              <w:t>Document or confirmation</w:t>
            </w:r>
          </w:p>
        </w:tc>
      </w:tr>
      <w:tr w:rsidR="00996BB5">
        <w:trPr>
          <w:cantSplit/>
          <w:jc w:val="center"/>
        </w:trPr>
        <w:tc>
          <w:tcPr>
            <w:tcW w:w="3666"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w:t>
            </w:r>
          </w:p>
        </w:tc>
        <w:tc>
          <w:tcPr>
            <w:tcW w:w="6399"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Completed questionnaire, signed declaration and company registration</w:t>
            </w:r>
          </w:p>
        </w:tc>
      </w:tr>
      <w:tr w:rsidR="00996BB5">
        <w:trPr>
          <w:cantSplit/>
          <w:jc w:val="center"/>
        </w:trPr>
        <w:tc>
          <w:tcPr>
            <w:tcW w:w="3666"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w:t>
            </w:r>
          </w:p>
        </w:tc>
        <w:tc>
          <w:tcPr>
            <w:tcW w:w="6399"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Fleet list, vehicle photos, registrations and ownership or rental authorizations</w:t>
            </w:r>
          </w:p>
        </w:tc>
      </w:tr>
      <w:tr w:rsidR="00996BB5">
        <w:trPr>
          <w:cantSplit/>
          <w:jc w:val="center"/>
        </w:trPr>
        <w:tc>
          <w:tcPr>
            <w:tcW w:w="3666"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w:t>
            </w:r>
          </w:p>
        </w:tc>
        <w:tc>
          <w:tcPr>
            <w:tcW w:w="6399"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 xml:space="preserve">Vehicle insurance evidence and driver list with </w:t>
            </w:r>
            <w:proofErr w:type="spellStart"/>
            <w:r>
              <w:rPr>
                <w:b/>
                <w:bCs/>
                <w:sz w:val="21"/>
                <w:szCs w:val="21"/>
              </w:rPr>
              <w:t>licence</w:t>
            </w:r>
            <w:proofErr w:type="spellEnd"/>
            <w:r>
              <w:rPr>
                <w:b/>
                <w:bCs/>
                <w:sz w:val="21"/>
                <w:szCs w:val="21"/>
              </w:rPr>
              <w:t xml:space="preserve"> details</w:t>
            </w:r>
          </w:p>
        </w:tc>
      </w:tr>
      <w:tr w:rsidR="00996BB5">
        <w:trPr>
          <w:cantSplit/>
          <w:jc w:val="center"/>
        </w:trPr>
        <w:tc>
          <w:tcPr>
            <w:tcW w:w="3666"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w:t>
            </w:r>
          </w:p>
        </w:tc>
        <w:tc>
          <w:tcPr>
            <w:tcW w:w="6399"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Dispatch, safety and replacement plan; two completed client references</w:t>
            </w:r>
          </w:p>
        </w:tc>
      </w:tr>
      <w:tr w:rsidR="00996BB5">
        <w:trPr>
          <w:cantSplit/>
          <w:jc w:val="center"/>
        </w:trPr>
        <w:tc>
          <w:tcPr>
            <w:tcW w:w="3666"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w:t>
            </w:r>
          </w:p>
        </w:tc>
        <w:tc>
          <w:tcPr>
            <w:tcW w:w="6399"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b/>
                <w:bCs/>
                <w:sz w:val="21"/>
                <w:szCs w:val="21"/>
              </w:rPr>
            </w:pPr>
            <w:r>
              <w:rPr>
                <w:b/>
                <w:bCs/>
                <w:sz w:val="21"/>
                <w:szCs w:val="21"/>
              </w:rPr>
              <w:t>Separate completed RFQ in Excel or PDF format, or both in USD</w:t>
            </w:r>
          </w:p>
        </w:tc>
      </w:tr>
      <w:tr w:rsidR="00996BB5">
        <w:trPr>
          <w:cantSplit/>
          <w:jc w:val="center"/>
        </w:trPr>
        <w:tc>
          <w:tcPr>
            <w:tcW w:w="3666"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w:t>
            </w:r>
          </w:p>
        </w:tc>
        <w:tc>
          <w:tcPr>
            <w:tcW w:w="6399"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rsidP="0079493C">
            <w:pPr>
              <w:pBdr>
                <w:top w:val="nil"/>
                <w:left w:val="nil"/>
                <w:bottom w:val="nil"/>
                <w:right w:val="nil"/>
                <w:between w:val="nil"/>
              </w:pBdr>
              <w:spacing w:after="0" w:line="245" w:lineRule="auto"/>
              <w:rPr>
                <w:b/>
                <w:bCs/>
                <w:sz w:val="21"/>
                <w:szCs w:val="21"/>
              </w:rPr>
            </w:pPr>
            <w:r>
              <w:rPr>
                <w:b/>
                <w:bCs/>
                <w:sz w:val="21"/>
                <w:szCs w:val="21"/>
              </w:rPr>
              <w:t xml:space="preserve">Signed acknowledgement </w:t>
            </w:r>
            <w:r w:rsidR="0079493C">
              <w:rPr>
                <w:b/>
                <w:bCs/>
                <w:sz w:val="21"/>
                <w:szCs w:val="21"/>
              </w:rPr>
              <w:t xml:space="preserve">of </w:t>
            </w:r>
            <w:r>
              <w:rPr>
                <w:b/>
                <w:bCs/>
                <w:sz w:val="21"/>
                <w:szCs w:val="21"/>
              </w:rPr>
              <w:t>the attached i-APS Cod</w:t>
            </w:r>
            <w:r w:rsidR="0079493C">
              <w:rPr>
                <w:b/>
                <w:bCs/>
                <w:sz w:val="21"/>
                <w:szCs w:val="21"/>
              </w:rPr>
              <w:t xml:space="preserve">e of Conduct </w:t>
            </w:r>
          </w:p>
        </w:tc>
      </w:tr>
    </w:tbl>
    <w:p w:rsidR="00996BB5" w:rsidRDefault="00996BB5"/>
    <w:p w:rsidR="00996BB5" w:rsidRDefault="00996BB5"/>
    <w:p w:rsidR="00996BB5" w:rsidRDefault="00996BB5"/>
    <w:p w:rsidR="00996BB5" w:rsidRDefault="00996BB5"/>
    <w:p w:rsidR="00996BB5" w:rsidRDefault="00996BB5"/>
    <w:p w:rsidR="00996BB5" w:rsidRDefault="00996BB5"/>
    <w:p w:rsidR="00996BB5" w:rsidRDefault="00996BB5"/>
    <w:p w:rsidR="00996BB5" w:rsidRDefault="00BD13D0">
      <w:r>
        <w:t xml:space="preserve">By signing, the company confirms that its responses and attachments are accurate, its prices were prepared independently, it has disclosed conflicts of interest, and it accepts the tender conditions. </w:t>
      </w:r>
      <w:proofErr w:type="gramStart"/>
      <w:r>
        <w:t>i-APS</w:t>
      </w:r>
      <w:proofErr w:type="gramEnd"/>
      <w:r>
        <w:t xml:space="preserve"> may check documents, references and vehicles before award.</w:t>
      </w:r>
    </w:p>
    <w:tbl>
      <w:tblPr>
        <w:tblStyle w:val="a8"/>
        <w:tblW w:w="11095" w:type="dxa"/>
        <w:jc w:val="center"/>
        <w:tblLayout w:type="fixed"/>
        <w:tblLook w:val="0400" w:firstRow="0" w:lastRow="0" w:firstColumn="0" w:lastColumn="0" w:noHBand="0" w:noVBand="1"/>
      </w:tblPr>
      <w:tblGrid>
        <w:gridCol w:w="4917"/>
        <w:gridCol w:w="6178"/>
      </w:tblGrid>
      <w:tr w:rsidR="00996BB5">
        <w:trPr>
          <w:cantSplit/>
          <w:tblHeader/>
          <w:jc w:val="center"/>
        </w:trPr>
        <w:tc>
          <w:tcPr>
            <w:tcW w:w="4917" w:type="dxa"/>
            <w:tcBorders>
              <w:top w:val="single" w:sz="4" w:space="0" w:color="D9D9D9"/>
              <w:left w:val="single" w:sz="4" w:space="0" w:color="D9D9D9"/>
              <w:bottom w:val="single" w:sz="4" w:space="0" w:color="D9D9D9"/>
              <w:right w:val="single" w:sz="4" w:space="0" w:color="D9D9D9"/>
            </w:tcBorders>
            <w:shd w:val="clear" w:color="auto" w:fill="AA1A5F"/>
            <w:tcMar>
              <w:top w:w="100" w:type="dxa"/>
              <w:left w:w="115" w:type="dxa"/>
              <w:bottom w:w="100" w:type="dxa"/>
              <w:right w:w="115" w:type="dxa"/>
            </w:tcMar>
            <w:vAlign w:val="center"/>
          </w:tcPr>
          <w:p w:rsidR="00996BB5" w:rsidRDefault="00BD13D0">
            <w:pPr>
              <w:pBdr>
                <w:top w:val="nil"/>
                <w:left w:val="nil"/>
                <w:bottom w:val="nil"/>
                <w:right w:val="nil"/>
                <w:between w:val="nil"/>
              </w:pBdr>
              <w:spacing w:after="0" w:line="245" w:lineRule="auto"/>
              <w:jc w:val="center"/>
              <w:rPr>
                <w:color w:val="FFFFFF"/>
                <w:sz w:val="21"/>
                <w:szCs w:val="21"/>
              </w:rPr>
            </w:pPr>
            <w:r>
              <w:rPr>
                <w:rFonts w:ascii="Poppins" w:eastAsia="Poppins" w:hAnsi="Poppins" w:cs="Poppins"/>
                <w:b/>
                <w:bCs/>
                <w:color w:val="FFFFFF"/>
                <w:sz w:val="21"/>
                <w:szCs w:val="21"/>
              </w:rPr>
              <w:t>Signature field</w:t>
            </w:r>
          </w:p>
        </w:tc>
        <w:tc>
          <w:tcPr>
            <w:tcW w:w="6178" w:type="dxa"/>
            <w:tcBorders>
              <w:top w:val="single" w:sz="4" w:space="0" w:color="D9D9D9"/>
              <w:left w:val="single" w:sz="4" w:space="0" w:color="D9D9D9"/>
              <w:bottom w:val="single" w:sz="4" w:space="0" w:color="D9D9D9"/>
              <w:right w:val="single" w:sz="4" w:space="0" w:color="D9D9D9"/>
            </w:tcBorders>
            <w:shd w:val="clear" w:color="auto" w:fill="AA1A5F"/>
            <w:tcMar>
              <w:top w:w="100" w:type="dxa"/>
              <w:left w:w="115" w:type="dxa"/>
              <w:bottom w:w="100" w:type="dxa"/>
              <w:right w:w="115" w:type="dxa"/>
            </w:tcMar>
            <w:vAlign w:val="center"/>
          </w:tcPr>
          <w:p w:rsidR="00996BB5" w:rsidRDefault="00BD13D0">
            <w:pPr>
              <w:pBdr>
                <w:top w:val="nil"/>
                <w:left w:val="nil"/>
                <w:bottom w:val="nil"/>
                <w:right w:val="nil"/>
                <w:between w:val="nil"/>
              </w:pBdr>
              <w:spacing w:after="0" w:line="245" w:lineRule="auto"/>
              <w:jc w:val="center"/>
              <w:rPr>
                <w:color w:val="FFFFFF"/>
                <w:sz w:val="21"/>
                <w:szCs w:val="21"/>
              </w:rPr>
            </w:pPr>
            <w:r>
              <w:rPr>
                <w:rFonts w:ascii="Poppins" w:eastAsia="Poppins" w:hAnsi="Poppins" w:cs="Poppins"/>
                <w:b/>
                <w:bCs/>
                <w:color w:val="FFFFFF"/>
                <w:sz w:val="21"/>
                <w:szCs w:val="21"/>
              </w:rPr>
              <w:t>Details</w:t>
            </w:r>
          </w:p>
        </w:tc>
      </w:tr>
      <w:tr w:rsidR="00996BB5">
        <w:trPr>
          <w:cantSplit/>
          <w:jc w:val="center"/>
        </w:trPr>
        <w:tc>
          <w:tcPr>
            <w:tcW w:w="4917"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Company name</w:t>
            </w:r>
          </w:p>
        </w:tc>
        <w:tc>
          <w:tcPr>
            <w:tcW w:w="6178"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r>
      <w:tr w:rsidR="00996BB5">
        <w:trPr>
          <w:cantSplit/>
          <w:jc w:val="center"/>
        </w:trPr>
        <w:tc>
          <w:tcPr>
            <w:tcW w:w="4917"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Authorized signatory and position</w:t>
            </w:r>
          </w:p>
        </w:tc>
        <w:tc>
          <w:tcPr>
            <w:tcW w:w="6178"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r>
      <w:tr w:rsidR="00996BB5">
        <w:trPr>
          <w:cantSplit/>
          <w:jc w:val="center"/>
        </w:trPr>
        <w:tc>
          <w:tcPr>
            <w:tcW w:w="4917"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Signature and date</w:t>
            </w:r>
          </w:p>
        </w:tc>
        <w:tc>
          <w:tcPr>
            <w:tcW w:w="6178" w:type="dxa"/>
            <w:tcBorders>
              <w:top w:val="single" w:sz="4" w:space="0" w:color="D9D9D9"/>
              <w:left w:val="single" w:sz="4" w:space="0" w:color="D9D9D9"/>
              <w:bottom w:val="single" w:sz="4" w:space="0" w:color="D9D9D9"/>
              <w:right w:val="single" w:sz="4" w:space="0" w:color="D9D9D9"/>
            </w:tcBorders>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r>
      <w:tr w:rsidR="00996BB5">
        <w:trPr>
          <w:cantSplit/>
          <w:jc w:val="center"/>
        </w:trPr>
        <w:tc>
          <w:tcPr>
            <w:tcW w:w="4917"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BD13D0">
            <w:pPr>
              <w:pBdr>
                <w:top w:val="nil"/>
                <w:left w:val="nil"/>
                <w:bottom w:val="nil"/>
                <w:right w:val="nil"/>
                <w:between w:val="nil"/>
              </w:pBdr>
              <w:spacing w:after="0" w:line="245" w:lineRule="auto"/>
              <w:rPr>
                <w:sz w:val="21"/>
                <w:szCs w:val="21"/>
              </w:rPr>
            </w:pPr>
            <w:r>
              <w:rPr>
                <w:sz w:val="21"/>
                <w:szCs w:val="21"/>
              </w:rPr>
              <w:t>Company stamp</w:t>
            </w:r>
          </w:p>
        </w:tc>
        <w:tc>
          <w:tcPr>
            <w:tcW w:w="6178" w:type="dxa"/>
            <w:tcBorders>
              <w:top w:val="single" w:sz="4" w:space="0" w:color="D9D9D9"/>
              <w:left w:val="single" w:sz="4" w:space="0" w:color="D9D9D9"/>
              <w:bottom w:val="single" w:sz="4" w:space="0" w:color="D9D9D9"/>
              <w:right w:val="single" w:sz="4" w:space="0" w:color="D9D9D9"/>
            </w:tcBorders>
            <w:shd w:val="clear" w:color="auto" w:fill="FFF5FA"/>
            <w:tcMar>
              <w:top w:w="90" w:type="dxa"/>
              <w:left w:w="110" w:type="dxa"/>
              <w:bottom w:w="90" w:type="dxa"/>
              <w:right w:w="110" w:type="dxa"/>
            </w:tcMar>
            <w:vAlign w:val="center"/>
          </w:tcPr>
          <w:p w:rsidR="00996BB5" w:rsidRDefault="00996BB5">
            <w:pPr>
              <w:pBdr>
                <w:top w:val="nil"/>
                <w:left w:val="nil"/>
                <w:bottom w:val="nil"/>
                <w:right w:val="nil"/>
                <w:between w:val="nil"/>
              </w:pBdr>
              <w:spacing w:after="0" w:line="245" w:lineRule="auto"/>
              <w:rPr>
                <w:sz w:val="21"/>
                <w:szCs w:val="21"/>
              </w:rPr>
            </w:pPr>
          </w:p>
        </w:tc>
      </w:tr>
    </w:tbl>
    <w:p w:rsidR="00996BB5" w:rsidRDefault="00BD13D0">
      <w:pPr>
        <w:pStyle w:val="Heading1"/>
        <w:pageBreakBefore/>
      </w:pPr>
      <w:r>
        <w:rPr>
          <w:rFonts w:ascii="Poppins" w:eastAsia="Poppins" w:hAnsi="Poppins" w:cs="Poppins"/>
        </w:rPr>
        <w:t xml:space="preserve">Annex </w:t>
      </w:r>
      <w:proofErr w:type="gramStart"/>
      <w:r>
        <w:rPr>
          <w:rFonts w:ascii="Poppins" w:eastAsia="Poppins" w:hAnsi="Poppins" w:cs="Poppins"/>
        </w:rPr>
        <w:t>D  Tender</w:t>
      </w:r>
      <w:proofErr w:type="gramEnd"/>
      <w:r>
        <w:rPr>
          <w:rFonts w:ascii="Poppins" w:eastAsia="Poppins" w:hAnsi="Poppins" w:cs="Poppins"/>
        </w:rPr>
        <w:t xml:space="preserve"> Conditions</w:t>
      </w:r>
    </w:p>
    <w:p w:rsidR="00996BB5" w:rsidRDefault="00BD13D0">
      <w:pPr>
        <w:pStyle w:val="Heading2"/>
      </w:pPr>
      <w:proofErr w:type="gramStart"/>
      <w:r>
        <w:rPr>
          <w:rFonts w:ascii="Poppins" w:eastAsia="Poppins" w:hAnsi="Poppins" w:cs="Poppins"/>
        </w:rPr>
        <w:t>D1  Eligibility</w:t>
      </w:r>
      <w:proofErr w:type="gramEnd"/>
      <w:r>
        <w:rPr>
          <w:rFonts w:ascii="Poppins" w:eastAsia="Poppins" w:hAnsi="Poppins" w:cs="Poppins"/>
        </w:rPr>
        <w:t xml:space="preserve"> and submission</w:t>
      </w:r>
    </w:p>
    <w:p w:rsidR="00996BB5" w:rsidRDefault="00BD13D0">
      <w:r>
        <w:t>Only legally registered companies may bid. Submit the completed, signed Annex C questionnaire and the RFQ in Excel or PDF format, or both, as separate attachments by the stated deadline. Late or materially incomplete offers may be rejected. Send questions to the clarification address before the deadline; i-APS will share material answers with all bidders.</w:t>
      </w:r>
    </w:p>
    <w:p w:rsidR="00996BB5" w:rsidRDefault="00BD13D0">
      <w:pPr>
        <w:pStyle w:val="Heading2"/>
      </w:pPr>
      <w:proofErr w:type="gramStart"/>
      <w:r>
        <w:rPr>
          <w:rFonts w:ascii="Poppins" w:eastAsia="Poppins" w:hAnsi="Poppins" w:cs="Poppins"/>
        </w:rPr>
        <w:t>D2  Review</w:t>
      </w:r>
      <w:proofErr w:type="gramEnd"/>
      <w:r>
        <w:rPr>
          <w:rFonts w:ascii="Poppins" w:eastAsia="Poppins" w:hAnsi="Poppins" w:cs="Poppins"/>
        </w:rPr>
        <w:t xml:space="preserve"> and evaluation</w:t>
      </w:r>
    </w:p>
    <w:p w:rsidR="00996BB5" w:rsidRDefault="00BD13D0">
      <w:r>
        <w:t>The minimum requirements in Annex C Section 1 and the required documents are checked on a pass/fail basis. Compliant offers are then reviewed for vehicle quality and safety, coverage of all listed state and movement lines, ability to mobilize and replace vehicles, responsible operations, relevant experience and references, and price. Prices are compared for like-for-like state, movement and vehicle categories in the RFQ. The lowest grand total alone does not guarantee award.</w:t>
      </w:r>
    </w:p>
    <w:p w:rsidR="00996BB5" w:rsidRDefault="00BD13D0">
      <w:proofErr w:type="gramStart"/>
      <w:r>
        <w:rPr>
          <w:b/>
          <w:bCs/>
        </w:rPr>
        <w:t>RPS vetting.</w:t>
      </w:r>
      <w:proofErr w:type="gramEnd"/>
      <w:r>
        <w:rPr>
          <w:b/>
          <w:bCs/>
        </w:rPr>
        <w:t xml:space="preserve"> </w:t>
      </w:r>
      <w:proofErr w:type="gramStart"/>
      <w:r>
        <w:t>i-APS</w:t>
      </w:r>
      <w:proofErr w:type="gramEnd"/>
      <w:r>
        <w:t xml:space="preserve"> will conduct its RPS vetting process for a company recommended for award before signing a framework agreement or issuing a Purchase Order. The company shall provide the information reasonably required for that process. Any proposed award is conditional on satisfactory completion of RPS vetting; i-APS may withhold or withdraw it if vetting is not cleared or material information is inaccurate.</w:t>
      </w:r>
    </w:p>
    <w:p w:rsidR="00996BB5" w:rsidRDefault="00BD13D0">
      <w:r>
        <w:t xml:space="preserve">No tax number or tax invoice is required with the tender. A company must still meet applicable legal requirements during contracting and payment. </w:t>
      </w:r>
      <w:proofErr w:type="gramStart"/>
      <w:r>
        <w:t>i-APS</w:t>
      </w:r>
      <w:proofErr w:type="gramEnd"/>
      <w:r>
        <w:t xml:space="preserve"> may verify documents, contact references and inspect vehicles before selection.</w:t>
      </w:r>
    </w:p>
    <w:p w:rsidR="00996BB5" w:rsidRDefault="00BD13D0">
      <w:pPr>
        <w:pStyle w:val="Heading2"/>
      </w:pPr>
      <w:proofErr w:type="gramStart"/>
      <w:r>
        <w:rPr>
          <w:rFonts w:ascii="Poppins" w:eastAsia="Poppins" w:hAnsi="Poppins" w:cs="Poppins"/>
        </w:rPr>
        <w:t>D3  Tender</w:t>
      </w:r>
      <w:proofErr w:type="gramEnd"/>
      <w:r>
        <w:rPr>
          <w:rFonts w:ascii="Poppins" w:eastAsia="Poppins" w:hAnsi="Poppins" w:cs="Poppins"/>
        </w:rPr>
        <w:t xml:space="preserve"> rights</w:t>
      </w:r>
    </w:p>
    <w:p w:rsidR="00996BB5" w:rsidRDefault="00BD13D0">
      <w:proofErr w:type="gramStart"/>
      <w:r>
        <w:t>i-APS</w:t>
      </w:r>
      <w:proofErr w:type="gramEnd"/>
      <w:r>
        <w:t xml:space="preserve"> may seek written clarification, reject non-compliant offers or cancel the tender. Any award will be made to one qualified company under a 12-month framework agreement. The maximum total value will be stated in the signed agreement and must not be exceeded by Purchase Orders. The agreement guarantees no work, minimum quantity or minimum spend. Bid preparation costs remain with the bidder.</w:t>
      </w:r>
    </w:p>
    <w:p w:rsidR="00996BB5" w:rsidRDefault="00BD13D0">
      <w:pPr>
        <w:pStyle w:val="Heading2"/>
      </w:pPr>
      <w:proofErr w:type="gramStart"/>
      <w:r>
        <w:rPr>
          <w:rFonts w:ascii="Poppins" w:eastAsia="Poppins" w:hAnsi="Poppins" w:cs="Poppins"/>
        </w:rPr>
        <w:t>D4  Integrity</w:t>
      </w:r>
      <w:proofErr w:type="gramEnd"/>
      <w:r>
        <w:rPr>
          <w:rFonts w:ascii="Poppins" w:eastAsia="Poppins" w:hAnsi="Poppins" w:cs="Poppins"/>
        </w:rPr>
        <w:t xml:space="preserve"> and confidentiality</w:t>
      </w:r>
    </w:p>
    <w:p w:rsidR="00996BB5" w:rsidRDefault="00BD13D0">
      <w:r>
        <w:t>Bidders must not collude, influence the evaluation committee or offer improper payments or gifts. They must disclose conflicts of interest and protect non-public tender and operational information. Only written addenda issued by i-APS can change the tender. An award becomes effective only through an authorized signed framework agreement and Purchase Order.</w:t>
      </w:r>
    </w:p>
    <w:p w:rsidR="00996BB5" w:rsidRDefault="00BD13D0">
      <w:pPr>
        <w:pStyle w:val="Heading1"/>
        <w:pageBreakBefore/>
      </w:pPr>
      <w:r>
        <w:rPr>
          <w:rFonts w:ascii="Poppins" w:eastAsia="Poppins" w:hAnsi="Poppins" w:cs="Poppins"/>
        </w:rPr>
        <w:t xml:space="preserve">Annex </w:t>
      </w:r>
      <w:proofErr w:type="gramStart"/>
      <w:r>
        <w:rPr>
          <w:rFonts w:ascii="Poppins" w:eastAsia="Poppins" w:hAnsi="Poppins" w:cs="Poppins"/>
        </w:rPr>
        <w:t>E  General</w:t>
      </w:r>
      <w:proofErr w:type="gramEnd"/>
      <w:r>
        <w:rPr>
          <w:rFonts w:ascii="Poppins" w:eastAsia="Poppins" w:hAnsi="Poppins" w:cs="Poppins"/>
        </w:rPr>
        <w:t xml:space="preserve"> Terms and Conditions</w:t>
      </w:r>
    </w:p>
    <w:p w:rsidR="00996BB5" w:rsidRDefault="00BD13D0">
      <w:pPr>
        <w:pStyle w:val="Heading2"/>
      </w:pPr>
      <w:proofErr w:type="gramStart"/>
      <w:r>
        <w:rPr>
          <w:rFonts w:ascii="Poppins" w:eastAsia="Poppins" w:hAnsi="Poppins" w:cs="Poppins"/>
        </w:rPr>
        <w:t>E1  Contract</w:t>
      </w:r>
      <w:proofErr w:type="gramEnd"/>
      <w:r>
        <w:rPr>
          <w:rFonts w:ascii="Poppins" w:eastAsia="Poppins" w:hAnsi="Poppins" w:cs="Poppins"/>
        </w:rPr>
        <w:t xml:space="preserve"> and service orders</w:t>
      </w:r>
    </w:p>
    <w:p w:rsidR="00996BB5" w:rsidRDefault="00BD13D0">
      <w:pPr>
        <w:spacing w:after="40" w:line="240" w:lineRule="auto"/>
      </w:pPr>
      <w:r>
        <w:t>The company acts as an independent contractor and remains responsible for its personnel and vehicles. Each assignment requires a written Purchase Order before service starts. The company shall perform only the approved route, dates, vehicle category and rate. Subcontracting, substitutions and amendments require prior written i-APS approval.</w:t>
      </w:r>
    </w:p>
    <w:p w:rsidR="00996BB5" w:rsidRDefault="00BD13D0">
      <w:pPr>
        <w:pStyle w:val="Heading2"/>
      </w:pPr>
      <w:proofErr w:type="gramStart"/>
      <w:r>
        <w:rPr>
          <w:rFonts w:ascii="Poppins" w:eastAsia="Poppins" w:hAnsi="Poppins" w:cs="Poppins"/>
        </w:rPr>
        <w:t>E2  Insurance</w:t>
      </w:r>
      <w:proofErr w:type="gramEnd"/>
      <w:r>
        <w:rPr>
          <w:rFonts w:ascii="Poppins" w:eastAsia="Poppins" w:hAnsi="Poppins" w:cs="Poppins"/>
        </w:rPr>
        <w:t>, safety and incidents</w:t>
      </w:r>
    </w:p>
    <w:p w:rsidR="00996BB5" w:rsidRDefault="00BD13D0">
      <w:pPr>
        <w:spacing w:after="40" w:line="240" w:lineRule="auto"/>
      </w:pPr>
      <w:r>
        <w:t>The company shall keep legally required and agreed insurance in force, maintain safe vehicles and licensed drivers, and provide evidence on request. It bears maintenance, recovery and replacement costs. Accidents, injuries, security incidents and safeguarding concerns must be reported immediately, with a written account within 24 hours. The parties will address claims and liability under the signed framework agreement and applicable law.</w:t>
      </w:r>
    </w:p>
    <w:p w:rsidR="00996BB5" w:rsidRDefault="00BD13D0">
      <w:pPr>
        <w:pStyle w:val="Heading2"/>
      </w:pPr>
      <w:proofErr w:type="gramStart"/>
      <w:r>
        <w:rPr>
          <w:rFonts w:ascii="Poppins" w:eastAsia="Poppins" w:hAnsi="Poppins" w:cs="Poppins"/>
        </w:rPr>
        <w:t>E3  Records</w:t>
      </w:r>
      <w:proofErr w:type="gramEnd"/>
      <w:r>
        <w:rPr>
          <w:rFonts w:ascii="Poppins" w:eastAsia="Poppins" w:hAnsi="Poppins" w:cs="Poppins"/>
        </w:rPr>
        <w:t xml:space="preserve"> and payment</w:t>
      </w:r>
    </w:p>
    <w:p w:rsidR="00996BB5" w:rsidRDefault="00BD13D0">
      <w:pPr>
        <w:spacing w:after="40" w:line="240" w:lineRule="auto"/>
      </w:pPr>
      <w:r>
        <w:t>Payment is calculated solely at the agreed daily rate per vehicle for each authorized, completed and accepted service or onsite availability day, irrespective of duty hours. Extended hours, overnight fieldwork and overnight stays do not attract hourly, overtime, night-work, overnight-stay or other working-hours surcharges. A complete claim includes the authorized Purchase Order, signed movement logs for each vehicle and day, service acceptance, any approved variation or incident record, and a company invoice or signed payment request. i-APS will pay within 30 days after receiving and accepting a complete claim, subject to the signed agreement. No advance is payable unless separately approved in writing.</w:t>
      </w:r>
    </w:p>
    <w:p w:rsidR="00996BB5" w:rsidRDefault="00BD13D0">
      <w:pPr>
        <w:pStyle w:val="Heading2"/>
      </w:pPr>
      <w:proofErr w:type="gramStart"/>
      <w:r>
        <w:rPr>
          <w:rFonts w:ascii="Poppins" w:eastAsia="Poppins" w:hAnsi="Poppins" w:cs="Poppins"/>
        </w:rPr>
        <w:t>E4  Conduct</w:t>
      </w:r>
      <w:proofErr w:type="gramEnd"/>
      <w:r>
        <w:rPr>
          <w:rFonts w:ascii="Poppins" w:eastAsia="Poppins" w:hAnsi="Poppins" w:cs="Poppins"/>
        </w:rPr>
        <w:t>, confidentiality and audit</w:t>
      </w:r>
    </w:p>
    <w:p w:rsidR="00996BB5" w:rsidRDefault="00BD13D0">
      <w:pPr>
        <w:spacing w:after="40" w:line="240" w:lineRule="auto"/>
      </w:pPr>
      <w:r>
        <w:t xml:space="preserve">The company and its personnel must comply with i-APS anti-fraud, anti-bribery, safeguarding, PSEA and security requirements. They shall keep passenger, route, </w:t>
      </w:r>
      <w:proofErr w:type="gramStart"/>
      <w:r>
        <w:t>project</w:t>
      </w:r>
      <w:proofErr w:type="gramEnd"/>
      <w:r>
        <w:t xml:space="preserve"> and field information confidential. The company shall retain accurate service and payment records and permit reasonable verification or audit under the framework agreement.</w:t>
      </w:r>
    </w:p>
    <w:p w:rsidR="00996BB5" w:rsidRDefault="00BD13D0">
      <w:pPr>
        <w:pStyle w:val="Heading2"/>
      </w:pPr>
      <w:proofErr w:type="gramStart"/>
      <w:r>
        <w:rPr>
          <w:rFonts w:ascii="Poppins" w:eastAsia="Poppins" w:hAnsi="Poppins" w:cs="Poppins"/>
        </w:rPr>
        <w:t>E5  Changes</w:t>
      </w:r>
      <w:proofErr w:type="gramEnd"/>
      <w:r>
        <w:rPr>
          <w:rFonts w:ascii="Poppins" w:eastAsia="Poppins" w:hAnsi="Poppins" w:cs="Poppins"/>
        </w:rPr>
        <w:t>, suspension and termination</w:t>
      </w:r>
    </w:p>
    <w:p w:rsidR="00996BB5" w:rsidRDefault="00BD13D0">
      <w:pPr>
        <w:spacing w:after="40" w:line="240" w:lineRule="auto"/>
      </w:pPr>
      <w:r>
        <w:t xml:space="preserve">The agreed daily rates remain fixed throughout the 12-month framework agreement. Any change to the service scope needs prior written approval from authorized representatives and does not alter those rates. </w:t>
      </w:r>
      <w:proofErr w:type="gramStart"/>
      <w:r>
        <w:t>i-APS</w:t>
      </w:r>
      <w:proofErr w:type="gramEnd"/>
      <w:r>
        <w:t xml:space="preserve"> may suspend an unsafe vehicle or driver, source an alternative for a failed assignment, or terminate for a serious or repeated breach as provided in the signed agreement. Events beyond a party’s reasonable control and dispute procedures are governed by the framework agreement and applicable Sudanese law.</w:t>
      </w:r>
    </w:p>
    <w:p w:rsidR="00996BB5" w:rsidRDefault="00BD13D0">
      <w:pPr>
        <w:pStyle w:val="Heading2"/>
      </w:pPr>
      <w:proofErr w:type="gramStart"/>
      <w:r>
        <w:rPr>
          <w:rFonts w:ascii="Poppins" w:eastAsia="Poppins" w:hAnsi="Poppins" w:cs="Poppins"/>
        </w:rPr>
        <w:t>E6  Document</w:t>
      </w:r>
      <w:proofErr w:type="gramEnd"/>
      <w:r>
        <w:rPr>
          <w:rFonts w:ascii="Poppins" w:eastAsia="Poppins" w:hAnsi="Poppins" w:cs="Poppins"/>
        </w:rPr>
        <w:t xml:space="preserve"> order</w:t>
      </w:r>
    </w:p>
    <w:p w:rsidR="00996BB5" w:rsidRDefault="00BD13D0">
      <w:pPr>
        <w:spacing w:after="40" w:line="240" w:lineRule="auto"/>
      </w:pPr>
      <w:r>
        <w:t>The signed framework agreement and Purchase Order govern each assignment. Unless the signed agreement says otherwise, a signed amendment prevails, followed by the Purchase Order, framework agreement, these terms, this TOR, the accepted technical offer and the accepted RFQ financial offer (Excel, PDF, or both).</w:t>
      </w:r>
    </w:p>
    <w:sectPr w:rsidR="00996BB5">
      <w:headerReference w:type="default" r:id="rId9"/>
      <w:footerReference w:type="default" r:id="rId10"/>
      <w:pgSz w:w="11909" w:h="16834"/>
      <w:pgMar w:top="792" w:right="1037" w:bottom="576" w:left="1037" w:header="331" w:footer="36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0C7A" w:rsidRDefault="00E10C7A">
      <w:pPr>
        <w:spacing w:after="0" w:line="240" w:lineRule="auto"/>
      </w:pPr>
      <w:r>
        <w:separator/>
      </w:r>
    </w:p>
  </w:endnote>
  <w:endnote w:type="continuationSeparator" w:id="0">
    <w:p w:rsidR="00E10C7A" w:rsidRDefault="00E10C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charset w:val="00"/>
    <w:family w:val="auto"/>
    <w:pitch w:val="default"/>
    <w:embedRegular r:id="rId1" w:fontKey="{DC5E1E3E-B4D2-44B7-ADBB-EF76422B6DCF}"/>
  </w:font>
  <w:font w:name="Corbel">
    <w:altName w:val="Corbel"/>
    <w:panose1 w:val="020B0503020204020204"/>
    <w:charset w:val="00"/>
    <w:family w:val="swiss"/>
    <w:pitch w:val="variable"/>
    <w:sig w:usb0="A00002EF" w:usb1="4000A44B" w:usb2="00000000" w:usb3="00000000" w:csb0="0000019F" w:csb1="00000000"/>
    <w:embedRegular r:id="rId2" w:fontKey="{DB7DF3A3-8755-4926-8658-E062150E7258}"/>
    <w:embedBold r:id="rId3" w:fontKey="{D321426B-B325-47AE-8D22-DA4A5A139C77}"/>
    <w:embedItalic r:id="rId4" w:fontKey="{56BD4301-6F79-42DF-AC7B-668745CB2C14}"/>
    <w:embedBoldItalic r:id="rId5" w:fontKey="{6C91B27E-3778-465E-84A3-911B90201BDE}"/>
  </w:font>
  <w:font w:name="Calibri">
    <w:panose1 w:val="020F0502020204030204"/>
    <w:charset w:val="00"/>
    <w:family w:val="swiss"/>
    <w:pitch w:val="variable"/>
    <w:sig w:usb0="E4002EFF" w:usb1="C000247B" w:usb2="00000009" w:usb3="00000000" w:csb0="000001FF" w:csb1="00000000"/>
    <w:embedRegular r:id="rId6" w:fontKey="{D6C78A8D-4685-4362-A9BD-1B11C0B6F39E}"/>
    <w:embedBold r:id="rId7" w:fontKey="{D62B8E8F-113A-4821-94A9-C45A5A6BD634}"/>
    <w:embedItalic r:id="rId8" w:fontKey="{4E70249D-8EF8-42D9-8746-D828CD71D4FC}"/>
    <w:embedBoldItalic r:id="rId9" w:fontKey="{83A62F80-3DAA-40CF-B873-A77E8D5309F2}"/>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10" w:fontKey="{47389AC1-2398-4778-973F-205E202925CA}"/>
  </w:font>
  <w:font w:name="Poppins">
    <w:charset w:val="00"/>
    <w:family w:val="auto"/>
    <w:pitch w:val="default"/>
    <w:embedBold r:id="rId11" w:fontKey="{126F4418-4813-4FA5-9A85-0474AD6A31E8}"/>
  </w:font>
  <w:font w:name="Cambria">
    <w:panose1 w:val="02040503050406030204"/>
    <w:charset w:val="00"/>
    <w:family w:val="roman"/>
    <w:pitch w:val="variable"/>
    <w:sig w:usb0="E00006FF" w:usb1="420024FF" w:usb2="02000000" w:usb3="00000000" w:csb0="0000019F" w:csb1="00000000"/>
    <w:embedRegular r:id="rId12" w:fontKey="{AE33DD15-77F4-4F47-8FDD-EC67AAA43FF3}"/>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BB5" w:rsidRDefault="00BD13D0">
    <w:pPr>
      <w:pBdr>
        <w:top w:val="nil"/>
        <w:left w:val="nil"/>
        <w:bottom w:val="nil"/>
        <w:right w:val="nil"/>
        <w:between w:val="nil"/>
      </w:pBdr>
      <w:tabs>
        <w:tab w:val="center" w:pos="4680"/>
        <w:tab w:val="right" w:pos="9360"/>
      </w:tabs>
      <w:spacing w:after="0" w:line="240" w:lineRule="auto"/>
      <w:jc w:val="right"/>
    </w:pPr>
    <w:proofErr w:type="gramStart"/>
    <w:r>
      <w:rPr>
        <w:sz w:val="21"/>
        <w:szCs w:val="21"/>
      </w:rPr>
      <w:t>i-APS</w:t>
    </w:r>
    <w:proofErr w:type="gramEnd"/>
    <w:r>
      <w:rPr>
        <w:sz w:val="21"/>
        <w:szCs w:val="21"/>
      </w:rPr>
      <w:t xml:space="preserve"> Sudan  |  APS-ITT-OMD-001- Vehicle Rental  |  Page </w:t>
    </w:r>
    <w:r>
      <w:fldChar w:fldCharType="begin"/>
    </w:r>
    <w:r>
      <w:instrText>PAGE</w:instrText>
    </w:r>
    <w:r>
      <w:fldChar w:fldCharType="separate"/>
    </w:r>
    <w:r w:rsidR="004C3616">
      <w:rPr>
        <w:noProof/>
      </w:rPr>
      <w:t>12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0C7A" w:rsidRDefault="00E10C7A">
      <w:pPr>
        <w:spacing w:after="0" w:line="240" w:lineRule="auto"/>
      </w:pPr>
      <w:r>
        <w:separator/>
      </w:r>
    </w:p>
  </w:footnote>
  <w:footnote w:type="continuationSeparator" w:id="0">
    <w:p w:rsidR="00E10C7A" w:rsidRDefault="00E10C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BB5" w:rsidRDefault="00BD13D0">
    <w:pPr>
      <w:pBdr>
        <w:top w:val="nil"/>
        <w:left w:val="nil"/>
        <w:bottom w:val="nil"/>
        <w:right w:val="nil"/>
        <w:between w:val="nil"/>
      </w:pBdr>
      <w:tabs>
        <w:tab w:val="center" w:pos="4680"/>
        <w:tab w:val="right" w:pos="9360"/>
      </w:tabs>
      <w:spacing w:after="0" w:line="240" w:lineRule="auto"/>
    </w:pPr>
    <w:r>
      <w:rPr>
        <w:noProof/>
      </w:rPr>
      <w:drawing>
        <wp:inline distT="0" distB="0" distL="0" distR="0">
          <wp:extent cx="2011680" cy="571869"/>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011680" cy="571869"/>
                  </a:xfrm>
                  <a:prstGeom prst="rect">
                    <a:avLst/>
                  </a:prstGeom>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B8060F"/>
    <w:multiLevelType w:val="multilevel"/>
    <w:tmpl w:val="3D7872D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nsid w:val="7EFB3A4F"/>
    <w:multiLevelType w:val="multilevel"/>
    <w:tmpl w:val="2DB62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996BB5"/>
    <w:rsid w:val="004C3616"/>
    <w:rsid w:val="0079493C"/>
    <w:rsid w:val="007E584A"/>
    <w:rsid w:val="00996BB5"/>
    <w:rsid w:val="00BD13D0"/>
    <w:rsid w:val="00E10C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rbel" w:eastAsia="Corbel" w:hAnsi="Corbel" w:cs="Corbel"/>
        <w:color w:val="404040"/>
        <w:sz w:val="24"/>
        <w:szCs w:val="24"/>
        <w:lang w:val="en-US" w:eastAsia="en-US" w:bidi="ar-SA"/>
      </w:rPr>
    </w:rPrDefault>
    <w:pPrDefault>
      <w:pPr>
        <w:spacing w:after="8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pPr>
      <w:keepNext/>
      <w:keepLines/>
      <w:spacing w:before="200" w:after="120"/>
      <w:outlineLvl w:val="0"/>
    </w:pPr>
    <w:rPr>
      <w:rFonts w:ascii="Calibri" w:eastAsia="Calibri" w:hAnsi="Calibri" w:cs="Calibri"/>
      <w:b/>
      <w:bCs/>
      <w:color w:val="000000"/>
      <w:sz w:val="28"/>
      <w:szCs w:val="28"/>
    </w:rPr>
  </w:style>
  <w:style w:type="paragraph" w:styleId="Heading2">
    <w:name w:val="heading 2"/>
    <w:basedOn w:val="Normal"/>
    <w:next w:val="Normal"/>
    <w:link w:val="Heading2Char"/>
    <w:pPr>
      <w:keepNext/>
      <w:keepLines/>
      <w:spacing w:before="160"/>
      <w:outlineLvl w:val="1"/>
    </w:pPr>
    <w:rPr>
      <w:rFonts w:ascii="Calibri" w:eastAsia="Calibri" w:hAnsi="Calibri" w:cs="Calibri"/>
      <w:b/>
      <w:bCs/>
      <w:color w:val="000000"/>
    </w:rPr>
  </w:style>
  <w:style w:type="paragraph" w:styleId="Heading3">
    <w:name w:val="heading 3"/>
    <w:basedOn w:val="Normal"/>
    <w:next w:val="Normal"/>
    <w:link w:val="Heading3Char"/>
    <w:pPr>
      <w:keepNext/>
      <w:keepLines/>
      <w:spacing w:before="200" w:after="0"/>
      <w:outlineLvl w:val="2"/>
    </w:pPr>
    <w:rPr>
      <w:rFonts w:ascii="Calibri" w:eastAsia="Calibri" w:hAnsi="Calibri" w:cs="Calibri"/>
      <w:b/>
      <w:bCs/>
      <w:color w:val="000000"/>
    </w:rPr>
  </w:style>
  <w:style w:type="paragraph" w:styleId="Heading4">
    <w:name w:val="heading 4"/>
    <w:basedOn w:val="Normal"/>
    <w:next w:val="Normal"/>
    <w:link w:val="Heading4Char"/>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keepNext/>
      <w:pBdr>
        <w:bottom w:val="single" w:sz="8" w:space="4" w:color="AA1A5F"/>
      </w:pBdr>
      <w:spacing w:after="240" w:line="240" w:lineRule="auto"/>
    </w:pPr>
    <w:rPr>
      <w:rFonts w:ascii="Calibri" w:eastAsia="Calibri" w:hAnsi="Calibri" w:cs="Calibri"/>
      <w:b/>
      <w:bCs/>
      <w:color w:val="000000"/>
      <w:sz w:val="40"/>
      <w:szCs w:val="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spacing w:after="50"/>
      <w:ind w:left="374" w:hanging="187"/>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pPr>
      <w:spacing w:after="0" w:line="245" w:lineRule="auto"/>
    </w:pPr>
    <w:rPr>
      <w:sz w:val="21"/>
    </w:rPr>
  </w:style>
  <w:style w:type="paragraph" w:styleId="BalloonText">
    <w:name w:val="Balloon Text"/>
    <w:basedOn w:val="Normal"/>
    <w:link w:val="BalloonTextChar"/>
    <w:uiPriority w:val="99"/>
    <w:semiHidden/>
    <w:unhideWhenUsed/>
    <w:rsid w:val="00617A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7A44"/>
    <w:rPr>
      <w:rFonts w:ascii="Tahoma" w:eastAsia="Corbel" w:hAnsi="Tahoma" w:cs="Tahoma"/>
      <w:color w:val="000000"/>
      <w:sz w:val="16"/>
      <w:szCs w:val="16"/>
    </w:rPr>
  </w:style>
  <w:style w:type="paragraph" w:styleId="Subtitle">
    <w:name w:val="Subtitle"/>
    <w:basedOn w:val="Normal"/>
    <w:next w:val="Normal"/>
    <w:link w:val="SubtitleChar"/>
    <w:rPr>
      <w:rFonts w:ascii="Calibri" w:eastAsia="Calibri" w:hAnsi="Calibri" w:cs="Calibri"/>
      <w:i/>
      <w:iCs/>
      <w:color w:val="4F81BD"/>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table" w:customStyle="1" w:styleId="a4">
    <w:basedOn w:val="TableNormal"/>
    <w:tblPr>
      <w:tblStyleRowBandSize w:val="1"/>
      <w:tblStyleColBandSize w:val="1"/>
      <w:tblInd w:w="0" w:type="dxa"/>
      <w:tblCellMar>
        <w:top w:w="0" w:type="dxa"/>
        <w:left w:w="115" w:type="dxa"/>
        <w:bottom w:w="0" w:type="dxa"/>
        <w:right w:w="115" w:type="dxa"/>
      </w:tblCellMar>
    </w:tblPr>
  </w:style>
  <w:style w:type="table" w:customStyle="1" w:styleId="a5">
    <w:basedOn w:val="TableNormal"/>
    <w:tblPr>
      <w:tblStyleRowBandSize w:val="1"/>
      <w:tblStyleColBandSize w:val="1"/>
      <w:tblInd w:w="0" w:type="dxa"/>
      <w:tblCellMar>
        <w:top w:w="0" w:type="dxa"/>
        <w:left w:w="115" w:type="dxa"/>
        <w:bottom w:w="0" w:type="dxa"/>
        <w:right w:w="115" w:type="dxa"/>
      </w:tblCellMar>
    </w:tblPr>
  </w:style>
  <w:style w:type="table" w:customStyle="1" w:styleId="a6">
    <w:basedOn w:val="TableNormal"/>
    <w:tblPr>
      <w:tblStyleRowBandSize w:val="1"/>
      <w:tblStyleColBandSize w:val="1"/>
      <w:tblInd w:w="0" w:type="dxa"/>
      <w:tblCellMar>
        <w:top w:w="0" w:type="dxa"/>
        <w:left w:w="115" w:type="dxa"/>
        <w:bottom w:w="0" w:type="dxa"/>
        <w:right w:w="115" w:type="dxa"/>
      </w:tblCellMar>
    </w:tblPr>
  </w:style>
  <w:style w:type="table" w:customStyle="1" w:styleId="a7">
    <w:basedOn w:val="TableNormal"/>
    <w:tblPr>
      <w:tblStyleRowBandSize w:val="1"/>
      <w:tblStyleColBandSize w:val="1"/>
      <w:tblInd w:w="0" w:type="dxa"/>
      <w:tblCellMar>
        <w:top w:w="0" w:type="dxa"/>
        <w:left w:w="115" w:type="dxa"/>
        <w:bottom w:w="0" w:type="dxa"/>
        <w:right w:w="115" w:type="dxa"/>
      </w:tblCellMar>
    </w:tblPr>
  </w:style>
  <w:style w:type="table" w:customStyle="1" w:styleId="a8">
    <w:basedOn w:val="TableNormal"/>
    <w:tblPr>
      <w:tblStyleRowBandSize w:val="1"/>
      <w:tblStyleColBandSize w:val="1"/>
      <w:tblInd w:w="0" w:type="dxa"/>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rbel" w:eastAsia="Corbel" w:hAnsi="Corbel" w:cs="Corbel"/>
        <w:color w:val="404040"/>
        <w:sz w:val="24"/>
        <w:szCs w:val="24"/>
        <w:lang w:val="en-US" w:eastAsia="en-US" w:bidi="ar-SA"/>
      </w:rPr>
    </w:rPrDefault>
    <w:pPrDefault>
      <w:pPr>
        <w:spacing w:after="8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pPr>
      <w:keepNext/>
      <w:keepLines/>
      <w:spacing w:before="200" w:after="120"/>
      <w:outlineLvl w:val="0"/>
    </w:pPr>
    <w:rPr>
      <w:rFonts w:ascii="Calibri" w:eastAsia="Calibri" w:hAnsi="Calibri" w:cs="Calibri"/>
      <w:b/>
      <w:bCs/>
      <w:color w:val="000000"/>
      <w:sz w:val="28"/>
      <w:szCs w:val="28"/>
    </w:rPr>
  </w:style>
  <w:style w:type="paragraph" w:styleId="Heading2">
    <w:name w:val="heading 2"/>
    <w:basedOn w:val="Normal"/>
    <w:next w:val="Normal"/>
    <w:link w:val="Heading2Char"/>
    <w:pPr>
      <w:keepNext/>
      <w:keepLines/>
      <w:spacing w:before="160"/>
      <w:outlineLvl w:val="1"/>
    </w:pPr>
    <w:rPr>
      <w:rFonts w:ascii="Calibri" w:eastAsia="Calibri" w:hAnsi="Calibri" w:cs="Calibri"/>
      <w:b/>
      <w:bCs/>
      <w:color w:val="000000"/>
    </w:rPr>
  </w:style>
  <w:style w:type="paragraph" w:styleId="Heading3">
    <w:name w:val="heading 3"/>
    <w:basedOn w:val="Normal"/>
    <w:next w:val="Normal"/>
    <w:link w:val="Heading3Char"/>
    <w:pPr>
      <w:keepNext/>
      <w:keepLines/>
      <w:spacing w:before="200" w:after="0"/>
      <w:outlineLvl w:val="2"/>
    </w:pPr>
    <w:rPr>
      <w:rFonts w:ascii="Calibri" w:eastAsia="Calibri" w:hAnsi="Calibri" w:cs="Calibri"/>
      <w:b/>
      <w:bCs/>
      <w:color w:val="000000"/>
    </w:rPr>
  </w:style>
  <w:style w:type="paragraph" w:styleId="Heading4">
    <w:name w:val="heading 4"/>
    <w:basedOn w:val="Normal"/>
    <w:next w:val="Normal"/>
    <w:link w:val="Heading4Char"/>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keepNext/>
      <w:pBdr>
        <w:bottom w:val="single" w:sz="8" w:space="4" w:color="AA1A5F"/>
      </w:pBdr>
      <w:spacing w:after="240" w:line="240" w:lineRule="auto"/>
    </w:pPr>
    <w:rPr>
      <w:rFonts w:ascii="Calibri" w:eastAsia="Calibri" w:hAnsi="Calibri" w:cs="Calibri"/>
      <w:b/>
      <w:bCs/>
      <w:color w:val="000000"/>
      <w:sz w:val="40"/>
      <w:szCs w:val="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spacing w:after="50"/>
      <w:ind w:left="374" w:hanging="187"/>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pPr>
      <w:spacing w:after="0" w:line="245" w:lineRule="auto"/>
    </w:pPr>
    <w:rPr>
      <w:sz w:val="21"/>
    </w:rPr>
  </w:style>
  <w:style w:type="paragraph" w:styleId="BalloonText">
    <w:name w:val="Balloon Text"/>
    <w:basedOn w:val="Normal"/>
    <w:link w:val="BalloonTextChar"/>
    <w:uiPriority w:val="99"/>
    <w:semiHidden/>
    <w:unhideWhenUsed/>
    <w:rsid w:val="00617A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7A44"/>
    <w:rPr>
      <w:rFonts w:ascii="Tahoma" w:eastAsia="Corbel" w:hAnsi="Tahoma" w:cs="Tahoma"/>
      <w:color w:val="000000"/>
      <w:sz w:val="16"/>
      <w:szCs w:val="16"/>
    </w:rPr>
  </w:style>
  <w:style w:type="paragraph" w:styleId="Subtitle">
    <w:name w:val="Subtitle"/>
    <w:basedOn w:val="Normal"/>
    <w:next w:val="Normal"/>
    <w:link w:val="SubtitleChar"/>
    <w:rPr>
      <w:rFonts w:ascii="Calibri" w:eastAsia="Calibri" w:hAnsi="Calibri" w:cs="Calibri"/>
      <w:i/>
      <w:iCs/>
      <w:color w:val="4F81BD"/>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table" w:customStyle="1" w:styleId="a4">
    <w:basedOn w:val="TableNormal"/>
    <w:tblPr>
      <w:tblStyleRowBandSize w:val="1"/>
      <w:tblStyleColBandSize w:val="1"/>
      <w:tblInd w:w="0" w:type="dxa"/>
      <w:tblCellMar>
        <w:top w:w="0" w:type="dxa"/>
        <w:left w:w="115" w:type="dxa"/>
        <w:bottom w:w="0" w:type="dxa"/>
        <w:right w:w="115" w:type="dxa"/>
      </w:tblCellMar>
    </w:tblPr>
  </w:style>
  <w:style w:type="table" w:customStyle="1" w:styleId="a5">
    <w:basedOn w:val="TableNormal"/>
    <w:tblPr>
      <w:tblStyleRowBandSize w:val="1"/>
      <w:tblStyleColBandSize w:val="1"/>
      <w:tblInd w:w="0" w:type="dxa"/>
      <w:tblCellMar>
        <w:top w:w="0" w:type="dxa"/>
        <w:left w:w="115" w:type="dxa"/>
        <w:bottom w:w="0" w:type="dxa"/>
        <w:right w:w="115" w:type="dxa"/>
      </w:tblCellMar>
    </w:tblPr>
  </w:style>
  <w:style w:type="table" w:customStyle="1" w:styleId="a6">
    <w:basedOn w:val="TableNormal"/>
    <w:tblPr>
      <w:tblStyleRowBandSize w:val="1"/>
      <w:tblStyleColBandSize w:val="1"/>
      <w:tblInd w:w="0" w:type="dxa"/>
      <w:tblCellMar>
        <w:top w:w="0" w:type="dxa"/>
        <w:left w:w="115" w:type="dxa"/>
        <w:bottom w:w="0" w:type="dxa"/>
        <w:right w:w="115" w:type="dxa"/>
      </w:tblCellMar>
    </w:tblPr>
  </w:style>
  <w:style w:type="table" w:customStyle="1" w:styleId="a7">
    <w:basedOn w:val="TableNormal"/>
    <w:tblPr>
      <w:tblStyleRowBandSize w:val="1"/>
      <w:tblStyleColBandSize w:val="1"/>
      <w:tblInd w:w="0" w:type="dxa"/>
      <w:tblCellMar>
        <w:top w:w="0" w:type="dxa"/>
        <w:left w:w="115" w:type="dxa"/>
        <w:bottom w:w="0" w:type="dxa"/>
        <w:right w:w="115" w:type="dxa"/>
      </w:tblCellMar>
    </w:tblPr>
  </w:style>
  <w:style w:type="table" w:customStyle="1" w:styleId="a8">
    <w:basedOn w:val="TableNormal"/>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e2uyYBxysHSMNG2I1AOZ3hNqKw==">CgMxLjAyDmgua3I5YjJoMmk4bmdwOAByITEtQTZEZGxRX3Q1NWpNeDVqN3ZFV1RZWnhKT3pQMEN3TA==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12</Pages>
  <Words>3107</Words>
  <Characters>17714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i-APS Sudan</dc:creator>
  <cp:lastModifiedBy>afrotech</cp:lastModifiedBy>
  <cp:revision>3</cp:revision>
  <dcterms:created xsi:type="dcterms:W3CDTF">2026-09-29T08:03:00Z</dcterms:created>
  <dcterms:modified xsi:type="dcterms:W3CDTF">2026-10-05T10:07:00Z</dcterms:modified>
</cp:coreProperties>
</file>